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6618"/>
      </w:tblGrid>
      <w:tr w:rsidR="00A24952" w:rsidRPr="00DE678A" w14:paraId="0DB468C2" w14:textId="77777777" w:rsidTr="00C92185">
        <w:tc>
          <w:tcPr>
            <w:tcW w:w="3019" w:type="dxa"/>
          </w:tcPr>
          <w:p w14:paraId="03DC2973" w14:textId="77777777" w:rsidR="00A24952" w:rsidRPr="00DE678A" w:rsidRDefault="00A24952" w:rsidP="00A24952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6618" w:type="dxa"/>
          </w:tcPr>
          <w:p w14:paraId="302EC7D1" w14:textId="77777777" w:rsidR="00A24952" w:rsidRPr="00DE678A" w:rsidRDefault="00A24952" w:rsidP="00A2495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</w:tbl>
    <w:p w14:paraId="5D23870F" w14:textId="77777777" w:rsidR="00D65DFA" w:rsidRPr="00DE678A" w:rsidRDefault="00C92185">
      <w:pPr>
        <w:rPr>
          <w:rFonts w:ascii="Times New Roman" w:hAnsi="Times New Roman" w:cs="Times New Roman"/>
          <w:color w:val="000000" w:themeColor="text1"/>
        </w:rPr>
      </w:pPr>
      <w:r>
        <w:rPr>
          <w:noProof/>
          <w:color w:val="000000"/>
        </w:rPr>
        <w:drawing>
          <wp:inline distT="0" distB="0" distL="0" distR="0" wp14:anchorId="70CB4AD5" wp14:editId="4202BFB8">
            <wp:extent cx="1152525" cy="600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12736" w14:textId="77777777" w:rsidR="00A24952" w:rsidRPr="00DE678A" w:rsidRDefault="00A24952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424A1783" w14:textId="77777777" w:rsidR="00A24952" w:rsidRPr="00DE678A" w:rsidRDefault="00A24952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2F74CEB6" w14:textId="77777777" w:rsidR="00A24952" w:rsidRPr="00DE678A" w:rsidRDefault="00A24952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2F2AF8F4" w14:textId="77777777" w:rsidR="00905279" w:rsidRPr="00DE678A" w:rsidRDefault="00905279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1E9D8481" w14:textId="77777777" w:rsidR="00905279" w:rsidRPr="00DE678A" w:rsidRDefault="00905279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1BF116DE" w14:textId="77777777" w:rsidR="00905279" w:rsidRPr="00DE678A" w:rsidRDefault="00905279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0B06F980" w14:textId="77777777" w:rsidR="00905279" w:rsidRDefault="00905279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5B6A2621" w14:textId="77777777" w:rsidR="00A643F7" w:rsidRDefault="00A643F7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1245ADC3" w14:textId="77777777" w:rsidR="00A643F7" w:rsidRPr="00DE678A" w:rsidRDefault="00A643F7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259E557B" w14:textId="77777777" w:rsidR="00905279" w:rsidRPr="00DE678A" w:rsidRDefault="00905279" w:rsidP="00905279">
      <w:pPr>
        <w:jc w:val="center"/>
        <w:rPr>
          <w:rFonts w:ascii="Times New Roman" w:hAnsi="Times New Roman" w:cs="Times New Roman"/>
          <w:color w:val="000000" w:themeColor="text1"/>
          <w:lang w:val="en-GB"/>
        </w:rPr>
      </w:pPr>
    </w:p>
    <w:p w14:paraId="46420914" w14:textId="77777777" w:rsidR="00905279" w:rsidRPr="00DE678A" w:rsidRDefault="00905279" w:rsidP="00905279">
      <w:pPr>
        <w:jc w:val="center"/>
        <w:rPr>
          <w:rFonts w:ascii="Times New Roman" w:hAnsi="Times New Roman" w:cs="Times New Roman"/>
          <w:color w:val="000000" w:themeColor="text1"/>
          <w:lang w:val="en-GB"/>
        </w:rPr>
      </w:pPr>
    </w:p>
    <w:p w14:paraId="6E632359" w14:textId="1EEB056C" w:rsidR="00241934" w:rsidRPr="00DE678A" w:rsidRDefault="007531FE" w:rsidP="004D6C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POLITIKA</w:t>
      </w:r>
      <w:r w:rsidR="0024193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OCENJIVANJA </w:t>
      </w:r>
    </w:p>
    <w:p w14:paraId="6C4FFA6D" w14:textId="77777777" w:rsidR="00DA561B" w:rsidRPr="00DE678A" w:rsidRDefault="00DA561B" w:rsidP="00D048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</w:pPr>
    </w:p>
    <w:p w14:paraId="5347136B" w14:textId="77777777" w:rsidR="00905279" w:rsidRPr="00DE678A" w:rsidRDefault="000047AC" w:rsidP="00D0482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DAK-PO-02</w:t>
      </w:r>
    </w:p>
    <w:p w14:paraId="68C0D865" w14:textId="77777777" w:rsidR="00905279" w:rsidRPr="00DE678A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493A8371" w14:textId="77777777" w:rsidR="00905279" w:rsidRPr="00DE678A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64D15D57" w14:textId="77777777" w:rsidR="00905279" w:rsidRPr="00DE678A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4EF6C3E5" w14:textId="77777777" w:rsidR="00905279" w:rsidRPr="00DE678A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6BC61A9B" w14:textId="77777777" w:rsidR="00905279" w:rsidRPr="00DE678A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29F79429" w14:textId="77777777" w:rsidR="00905279" w:rsidRPr="00DE678A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19FBB972" w14:textId="5E8801A7" w:rsidR="00905279" w:rsidRPr="00DE678A" w:rsidRDefault="007531FE" w:rsidP="00750943">
      <w:pPr>
        <w:spacing w:after="0" w:line="240" w:lineRule="auto"/>
        <w:ind w:left="504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ODOBRENO</w:t>
      </w:r>
      <w:r w:rsidR="009052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905279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9060801" w14:textId="77777777" w:rsidR="00905279" w:rsidRPr="00DE678A" w:rsidRDefault="00905279" w:rsidP="00750943">
      <w:pPr>
        <w:spacing w:after="0" w:line="240" w:lineRule="auto"/>
        <w:ind w:left="50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GENERALNE DIREKTORKE</w:t>
      </w:r>
    </w:p>
    <w:p w14:paraId="276DF40B" w14:textId="10A4F5AD" w:rsidR="00905279" w:rsidRPr="00DE678A" w:rsidRDefault="004F6D98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proofErr w:type="spellStart"/>
      <w:r w:rsidR="007531FE">
        <w:rPr>
          <w:rFonts w:ascii="Times New Roman" w:hAnsi="Times New Roman"/>
          <w:b/>
          <w:color w:val="000000" w:themeColor="text1"/>
        </w:rPr>
        <w:t>Gentiana</w:t>
      </w:r>
      <w:proofErr w:type="spellEnd"/>
      <w:r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7531FE">
        <w:rPr>
          <w:rFonts w:ascii="Times New Roman" w:hAnsi="Times New Roman"/>
          <w:b/>
          <w:color w:val="000000" w:themeColor="text1"/>
        </w:rPr>
        <w:t>Islamaj</w:t>
      </w:r>
      <w:proofErr w:type="spellEnd"/>
    </w:p>
    <w:p w14:paraId="40381021" w14:textId="77777777" w:rsidR="00905279" w:rsidRPr="00DE678A" w:rsidRDefault="00905279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41CF9C6D" w14:textId="77777777" w:rsidR="00982F06" w:rsidRPr="00DE678A" w:rsidRDefault="00982F06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54B0E4A7" w14:textId="77777777" w:rsidR="00750943" w:rsidRPr="00DE678A" w:rsidRDefault="0075094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2140B974" w14:textId="77777777" w:rsidR="00750943" w:rsidRPr="00DE678A" w:rsidRDefault="0075094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4B17685D" w14:textId="77777777" w:rsidR="00750943" w:rsidRPr="00DE678A" w:rsidRDefault="0075094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5C0B8DBA" w14:textId="77777777" w:rsidR="00750943" w:rsidRPr="00DE678A" w:rsidRDefault="0075094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4248FF86" w14:textId="77777777" w:rsidR="00982F06" w:rsidRPr="00DE678A" w:rsidRDefault="00982F06">
      <w:pPr>
        <w:rPr>
          <w:rFonts w:ascii="Times New Roman" w:hAnsi="Times New Roman" w:cs="Times New Roman"/>
          <w:color w:val="000000" w:themeColor="text1"/>
          <w:lang w:val="en-GB"/>
        </w:rPr>
      </w:pPr>
    </w:p>
    <w:sdt>
      <w:sdtPr>
        <w:rPr>
          <w:rFonts w:asciiTheme="majorBidi" w:eastAsiaTheme="minorHAnsi" w:hAnsiTheme="majorBidi" w:cstheme="minorBidi"/>
          <w:b w:val="0"/>
          <w:bCs w:val="0"/>
          <w:color w:val="000000" w:themeColor="text1"/>
          <w:sz w:val="24"/>
          <w:szCs w:val="24"/>
        </w:rPr>
        <w:id w:val="22339656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14:paraId="057F8130" w14:textId="11A18A4D" w:rsidR="00982F06" w:rsidRPr="00DE678A" w:rsidRDefault="007531FE">
          <w:pPr>
            <w:pStyle w:val="TOCHeading"/>
            <w:rPr>
              <w:rFonts w:asciiTheme="majorBidi" w:hAnsiTheme="majorBidi"/>
              <w:color w:val="000000" w:themeColor="text1"/>
              <w:sz w:val="24"/>
              <w:szCs w:val="24"/>
            </w:rPr>
          </w:pPr>
          <w:r>
            <w:rPr>
              <w:rFonts w:asciiTheme="majorBidi" w:hAnsiTheme="majorBidi"/>
              <w:color w:val="000000" w:themeColor="text1"/>
              <w:sz w:val="24"/>
              <w:szCs w:val="24"/>
            </w:rPr>
            <w:t>SADRŽAJ</w:t>
          </w:r>
        </w:p>
        <w:p w14:paraId="078BC92F" w14:textId="77777777" w:rsidR="00982F06" w:rsidRPr="00DE678A" w:rsidRDefault="00982F06" w:rsidP="00982F06">
          <w:pPr>
            <w:rPr>
              <w:rFonts w:asciiTheme="majorBidi" w:hAnsiTheme="majorBidi" w:cstheme="majorBidi"/>
              <w:color w:val="000000" w:themeColor="text1"/>
              <w:sz w:val="24"/>
              <w:szCs w:val="24"/>
              <w:lang w:val="en-GB"/>
            </w:rPr>
          </w:pPr>
        </w:p>
        <w:p w14:paraId="1C98E159" w14:textId="60027A50" w:rsidR="007531FE" w:rsidRDefault="00836E14">
          <w:pPr>
            <w:pStyle w:val="TOC1"/>
            <w:rPr>
              <w:rFonts w:eastAsiaTheme="minorEastAsia"/>
              <w:noProof/>
              <w:lang w:val="en-US"/>
            </w:rPr>
          </w:pPr>
          <w:r w:rsidRPr="004C78DA">
            <w:rPr>
              <w:rFonts w:asciiTheme="majorBidi" w:hAnsiTheme="majorBidi" w:cstheme="majorBidi"/>
              <w:b/>
              <w:color w:val="000000" w:themeColor="text1"/>
              <w:sz w:val="24"/>
              <w:szCs w:val="24"/>
            </w:rPr>
            <w:fldChar w:fldCharType="begin"/>
          </w:r>
          <w:r w:rsidR="00982F06" w:rsidRPr="004C78DA">
            <w:rPr>
              <w:rFonts w:asciiTheme="majorBidi" w:hAnsiTheme="majorBidi" w:cstheme="majorBidi"/>
              <w:b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4C78DA">
            <w:rPr>
              <w:rFonts w:asciiTheme="majorBidi" w:hAnsiTheme="majorBidi" w:cstheme="majorBidi"/>
              <w:b/>
              <w:color w:val="000000" w:themeColor="text1"/>
              <w:sz w:val="24"/>
              <w:szCs w:val="24"/>
            </w:rPr>
            <w:fldChar w:fldCharType="separate"/>
          </w:r>
          <w:hyperlink w:anchor="_Toc32232240" w:history="1">
            <w:r w:rsidR="007531FE" w:rsidRPr="00662265">
              <w:rPr>
                <w:rStyle w:val="Hyperlink"/>
                <w:rFonts w:ascii="Times New Roman" w:hAnsi="Times New Roman"/>
                <w:noProof/>
              </w:rPr>
              <w:t>1. DELOKRUG</w:t>
            </w:r>
            <w:r w:rsidR="007531FE">
              <w:rPr>
                <w:noProof/>
                <w:webHidden/>
              </w:rPr>
              <w:tab/>
            </w:r>
            <w:r w:rsidR="007531FE">
              <w:rPr>
                <w:noProof/>
                <w:webHidden/>
              </w:rPr>
              <w:fldChar w:fldCharType="begin"/>
            </w:r>
            <w:r w:rsidR="007531FE">
              <w:rPr>
                <w:noProof/>
                <w:webHidden/>
              </w:rPr>
              <w:instrText xml:space="preserve"> PAGEREF _Toc32232240 \h </w:instrText>
            </w:r>
            <w:r w:rsidR="007531FE">
              <w:rPr>
                <w:noProof/>
                <w:webHidden/>
              </w:rPr>
            </w:r>
            <w:r w:rsidR="007531FE">
              <w:rPr>
                <w:noProof/>
                <w:webHidden/>
              </w:rPr>
              <w:fldChar w:fldCharType="separate"/>
            </w:r>
            <w:r w:rsidR="007531FE">
              <w:rPr>
                <w:noProof/>
                <w:webHidden/>
              </w:rPr>
              <w:t>3</w:t>
            </w:r>
            <w:r w:rsidR="007531FE">
              <w:rPr>
                <w:noProof/>
                <w:webHidden/>
              </w:rPr>
              <w:fldChar w:fldCharType="end"/>
            </w:r>
          </w:hyperlink>
        </w:p>
        <w:p w14:paraId="3009DA24" w14:textId="692DB23A" w:rsidR="007531FE" w:rsidRDefault="007531FE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241" w:history="1">
            <w:r w:rsidRPr="00662265">
              <w:rPr>
                <w:rStyle w:val="Hyperlink"/>
                <w:rFonts w:ascii="Times New Roman" w:hAnsi="Times New Roman"/>
                <w:noProof/>
              </w:rPr>
              <w:t>2.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26382" w14:textId="48A17DFA" w:rsidR="007531FE" w:rsidRDefault="007531FE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242" w:history="1">
            <w:r w:rsidRPr="00662265">
              <w:rPr>
                <w:rStyle w:val="Hyperlink"/>
                <w:rFonts w:ascii="Times New Roman" w:hAnsi="Times New Roman"/>
                <w:noProof/>
              </w:rPr>
              <w:t>3. ODGOVORNOSTI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03031" w14:textId="5BFD0A45" w:rsidR="007531FE" w:rsidRDefault="007531FE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243" w:history="1">
            <w:r w:rsidRPr="00662265">
              <w:rPr>
                <w:rStyle w:val="Hyperlink"/>
                <w:rFonts w:ascii="Times New Roman" w:hAnsi="Times New Roman"/>
                <w:noProof/>
              </w:rPr>
              <w:t>4. REČNIK I SKRAČENICE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5A9F5" w14:textId="1722BCCD" w:rsidR="007531FE" w:rsidRDefault="007531F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244" w:history="1"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4.1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Rečnik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5F3E6" w14:textId="4423BA5A" w:rsidR="007531FE" w:rsidRDefault="007531F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245" w:history="1"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4.2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Skraćenice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A7481" w14:textId="233B03B9" w:rsidR="007531FE" w:rsidRDefault="007531FE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246" w:history="1">
            <w:r w:rsidRPr="00662265">
              <w:rPr>
                <w:rStyle w:val="Hyperlink"/>
                <w:rFonts w:ascii="Times New Roman" w:hAnsi="Times New Roman"/>
                <w:noProof/>
              </w:rPr>
              <w:t xml:space="preserve">5. </w:t>
            </w:r>
            <w:r>
              <w:rPr>
                <w:rStyle w:val="Hyperlink"/>
                <w:rFonts w:ascii="Times New Roman" w:hAnsi="Times New Roman"/>
                <w:noProof/>
              </w:rPr>
              <w:t>OPIS</w:t>
            </w:r>
            <w:r w:rsidRPr="00662265">
              <w:rPr>
                <w:rStyle w:val="Hyperlink"/>
                <w:rFonts w:ascii="Times New Roman" w:hAnsi="Times New Roman"/>
                <w:noProof/>
              </w:rPr>
              <w:t xml:space="preserve"> POLITIKE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44A50" w14:textId="3D05CAD6" w:rsidR="007531FE" w:rsidRDefault="007531F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247" w:history="1"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5.1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Opšta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pravila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3A38D" w14:textId="7A829147" w:rsidR="007531FE" w:rsidRDefault="007531F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248" w:history="1"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5.2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Broj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dana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ocenjivanja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za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laboratorije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60C73" w14:textId="3B078750" w:rsidR="007531FE" w:rsidRDefault="007531F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249" w:history="1"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5.3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Broj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dana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ocenjivanja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za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inspekcijske organe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86268" w14:textId="4537DC4D" w:rsidR="007531FE" w:rsidRDefault="007531F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250" w:history="1"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5.4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Broj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dana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ocenjivanja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za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aktivnosti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pre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i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nakon</w:t>
            </w:r>
            <w:r w:rsidRPr="00662265">
              <w:rPr>
                <w:rStyle w:val="Hyperlink"/>
                <w:rFonts w:ascii="Times New Roman" w:hAnsi="Times New Roman"/>
                <w:b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procene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40652" w14:textId="6CE01DA6" w:rsidR="007531FE" w:rsidRDefault="007531FE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251" w:history="1">
            <w:r w:rsidRPr="00662265">
              <w:rPr>
                <w:rStyle w:val="Hyperlink"/>
                <w:rFonts w:ascii="Times New Roman" w:hAnsi="Times New Roman"/>
                <w:noProof/>
              </w:rPr>
              <w:t>6. ANEKSI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3701F" w14:textId="59F3C5F6" w:rsidR="007531FE" w:rsidRDefault="007531FE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252" w:history="1">
            <w:r w:rsidRPr="00662265">
              <w:rPr>
                <w:rStyle w:val="Hyperlink"/>
                <w:rFonts w:ascii="Times New Roman" w:hAnsi="Times New Roman"/>
                <w:noProof/>
              </w:rPr>
              <w:t>7. ZAPISI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14A85" w14:textId="52932623" w:rsidR="007531FE" w:rsidRDefault="007531FE">
          <w:pPr>
            <w:pStyle w:val="TOC1"/>
            <w:rPr>
              <w:rFonts w:eastAsiaTheme="minorEastAsia"/>
              <w:noProof/>
              <w:lang w:val="en-US"/>
            </w:rPr>
          </w:pPr>
          <w:hyperlink w:anchor="_Toc32232253" w:history="1">
            <w:r w:rsidRPr="00662265">
              <w:rPr>
                <w:rStyle w:val="Hyperlink"/>
                <w:rFonts w:ascii="Times New Roman" w:hAnsi="Times New Roman"/>
                <w:noProof/>
              </w:rPr>
              <w:t xml:space="preserve">8. </w:t>
            </w:r>
            <w:r>
              <w:rPr>
                <w:rStyle w:val="Hyperlink"/>
                <w:rFonts w:ascii="Times New Roman" w:hAnsi="Times New Roman"/>
                <w:noProof/>
              </w:rPr>
              <w:t>ISTORIJA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1B3DD" w14:textId="24B4DAC9" w:rsidR="004724BC" w:rsidRPr="004C78DA" w:rsidRDefault="00836E14">
          <w:pPr>
            <w:rPr>
              <w:rFonts w:asciiTheme="majorBidi" w:hAnsiTheme="majorBidi" w:cstheme="majorBidi"/>
              <w:b/>
              <w:color w:val="000000" w:themeColor="text1"/>
              <w:sz w:val="24"/>
              <w:szCs w:val="24"/>
            </w:rPr>
          </w:pPr>
          <w:r w:rsidRPr="004C78DA">
            <w:rPr>
              <w:rFonts w:asciiTheme="majorBidi" w:hAnsiTheme="majorBidi" w:cstheme="majorBidi"/>
              <w:b/>
              <w:color w:val="000000" w:themeColor="text1"/>
              <w:sz w:val="24"/>
              <w:szCs w:val="24"/>
            </w:rPr>
            <w:fldChar w:fldCharType="end"/>
          </w:r>
        </w:p>
        <w:p w14:paraId="04ADE92D" w14:textId="77777777" w:rsidR="004724BC" w:rsidRPr="00DE678A" w:rsidRDefault="004724BC">
          <w:pPr>
            <w:rPr>
              <w:rFonts w:asciiTheme="majorBidi" w:hAnsiTheme="majorBidi" w:cstheme="majorBidi"/>
              <w:color w:val="000000" w:themeColor="text1"/>
              <w:sz w:val="24"/>
              <w:szCs w:val="24"/>
              <w:lang w:val="en-GB"/>
            </w:rPr>
          </w:pPr>
        </w:p>
        <w:p w14:paraId="1ED70631" w14:textId="77777777" w:rsidR="004724BC" w:rsidRPr="00DE678A" w:rsidRDefault="004724BC">
          <w:pPr>
            <w:rPr>
              <w:rFonts w:asciiTheme="majorBidi" w:hAnsiTheme="majorBidi" w:cstheme="majorBidi"/>
              <w:color w:val="000000" w:themeColor="text1"/>
              <w:sz w:val="24"/>
              <w:szCs w:val="24"/>
              <w:lang w:val="en-GB"/>
            </w:rPr>
          </w:pPr>
        </w:p>
        <w:p w14:paraId="3A154B09" w14:textId="77777777" w:rsidR="004724BC" w:rsidRPr="00DE678A" w:rsidRDefault="004724BC">
          <w:pPr>
            <w:rPr>
              <w:rFonts w:asciiTheme="majorBidi" w:hAnsiTheme="majorBidi" w:cstheme="majorBidi"/>
              <w:color w:val="000000" w:themeColor="text1"/>
              <w:sz w:val="24"/>
              <w:szCs w:val="24"/>
              <w:lang w:val="en-GB"/>
            </w:rPr>
          </w:pPr>
        </w:p>
        <w:p w14:paraId="5DEC6BD0" w14:textId="77777777" w:rsidR="004724BC" w:rsidRPr="00DE678A" w:rsidRDefault="004724BC">
          <w:pPr>
            <w:rPr>
              <w:rFonts w:asciiTheme="majorBidi" w:hAnsiTheme="majorBidi" w:cstheme="majorBidi"/>
              <w:color w:val="000000" w:themeColor="text1"/>
              <w:sz w:val="24"/>
              <w:szCs w:val="24"/>
              <w:lang w:val="en-GB"/>
            </w:rPr>
          </w:pPr>
        </w:p>
        <w:p w14:paraId="51F0F8B5" w14:textId="77777777" w:rsidR="004724BC" w:rsidRPr="00DE678A" w:rsidRDefault="004724BC">
          <w:pPr>
            <w:rPr>
              <w:rFonts w:asciiTheme="majorBidi" w:hAnsiTheme="majorBidi" w:cstheme="majorBidi"/>
              <w:color w:val="000000" w:themeColor="text1"/>
              <w:sz w:val="24"/>
              <w:szCs w:val="24"/>
              <w:lang w:val="en-GB"/>
            </w:rPr>
          </w:pPr>
        </w:p>
        <w:p w14:paraId="2482120B" w14:textId="77777777" w:rsidR="004724BC" w:rsidRPr="00DE678A" w:rsidRDefault="004724BC">
          <w:pPr>
            <w:rPr>
              <w:rFonts w:asciiTheme="majorBidi" w:hAnsiTheme="majorBidi" w:cstheme="majorBidi"/>
              <w:color w:val="000000" w:themeColor="text1"/>
              <w:sz w:val="24"/>
              <w:szCs w:val="24"/>
              <w:lang w:val="en-GB"/>
            </w:rPr>
          </w:pPr>
        </w:p>
        <w:p w14:paraId="2CFB051E" w14:textId="77777777" w:rsidR="00301AAD" w:rsidRDefault="00301AAD">
          <w:pPr>
            <w:rPr>
              <w:color w:val="000000" w:themeColor="text1"/>
              <w:lang w:val="en-GB"/>
            </w:rPr>
          </w:pPr>
        </w:p>
        <w:p w14:paraId="35001090" w14:textId="77777777" w:rsidR="00982F06" w:rsidRPr="00DE678A" w:rsidRDefault="00845686">
          <w:pPr>
            <w:rPr>
              <w:color w:val="000000" w:themeColor="text1"/>
              <w:lang w:val="en-GB"/>
            </w:rPr>
          </w:pPr>
        </w:p>
      </w:sdtContent>
    </w:sdt>
    <w:p w14:paraId="5E8834C9" w14:textId="77777777" w:rsidR="00301AAD" w:rsidRDefault="00301AAD" w:rsidP="0044655A">
      <w:pPr>
        <w:pStyle w:val="Heading1"/>
        <w:tabs>
          <w:tab w:val="left" w:pos="567"/>
        </w:tabs>
        <w:spacing w:before="0" w:line="240" w:lineRule="auto"/>
        <w:rPr>
          <w:rFonts w:asciiTheme="majorBidi" w:eastAsia="Calibri" w:hAnsiTheme="majorBidi"/>
          <w:color w:val="000000" w:themeColor="text1"/>
          <w:sz w:val="24"/>
          <w:szCs w:val="24"/>
        </w:rPr>
      </w:pPr>
      <w:bookmarkStart w:id="0" w:name="_Toc421093105"/>
    </w:p>
    <w:p w14:paraId="3AB857AD" w14:textId="77777777" w:rsidR="00951BF2" w:rsidRPr="00A643F7" w:rsidRDefault="00951BF2" w:rsidP="00A643F7">
      <w:pPr>
        <w:rPr>
          <w:lang w:val="en-GB"/>
        </w:rPr>
      </w:pPr>
    </w:p>
    <w:p w14:paraId="4653F024" w14:textId="77777777" w:rsidR="00301AAD" w:rsidRPr="00301AAD" w:rsidRDefault="00301AAD" w:rsidP="00301AAD">
      <w:pPr>
        <w:rPr>
          <w:lang w:val="en-GB"/>
        </w:rPr>
      </w:pPr>
    </w:p>
    <w:p w14:paraId="1D3075D0" w14:textId="66BB896F" w:rsidR="00D0482D" w:rsidRPr="00A643F7" w:rsidRDefault="00D0482D" w:rsidP="00A643F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32232240"/>
      <w:r>
        <w:rPr>
          <w:rFonts w:ascii="Times New Roman" w:hAnsi="Times New Roman"/>
          <w:color w:val="auto"/>
          <w:sz w:val="24"/>
          <w:szCs w:val="24"/>
        </w:rPr>
        <w:t>1. DELOKRUG</w:t>
      </w:r>
      <w:bookmarkEnd w:id="1"/>
    </w:p>
    <w:p w14:paraId="67247325" w14:textId="77777777" w:rsidR="00D0482D" w:rsidRPr="00DE678A" w:rsidRDefault="00D0482D" w:rsidP="00D0482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5DE4D0D8" w14:textId="25E3FD8F" w:rsidR="00D0482D" w:rsidRDefault="007531FE" w:rsidP="00C4169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Ovaj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dokument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opisuje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politiku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Generalne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direkcije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Kosova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vezi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sa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ocenom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Organa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ocenjivanje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(CAB - OOU), </w:t>
      </w:r>
      <w:r>
        <w:rPr>
          <w:rFonts w:ascii="Times New Roman" w:hAnsi="Times New Roman"/>
          <w:color w:val="000000" w:themeColor="text1"/>
          <w:sz w:val="24"/>
          <w:szCs w:val="24"/>
        </w:rPr>
        <w:t>kao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što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su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laboratorije za kalibraciju, testiranje i inspekcijski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organi</w:t>
      </w:r>
      <w:r w:rsidR="00D0482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59C242B" w14:textId="77777777" w:rsidR="00C41698" w:rsidRPr="00DE678A" w:rsidRDefault="00C41698" w:rsidP="00C4169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2E2CCF81" w14:textId="439444D6" w:rsidR="00D0482D" w:rsidRPr="00A643F7" w:rsidRDefault="00D0482D" w:rsidP="00A643F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32232241"/>
      <w:r>
        <w:rPr>
          <w:rFonts w:ascii="Times New Roman" w:hAnsi="Times New Roman"/>
          <w:color w:val="auto"/>
          <w:sz w:val="24"/>
          <w:szCs w:val="24"/>
        </w:rPr>
        <w:t>2. REFERENCE</w:t>
      </w:r>
      <w:bookmarkEnd w:id="2"/>
    </w:p>
    <w:p w14:paraId="082143F6" w14:textId="77777777" w:rsidR="00D0482D" w:rsidRPr="00DE678A" w:rsidRDefault="00D0482D" w:rsidP="00D0482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7F38DB67" w14:textId="159DB303" w:rsidR="000047AC" w:rsidRDefault="007531FE" w:rsidP="0037140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ISO</w:t>
      </w:r>
      <w:r w:rsidR="008F16E4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IEC</w:t>
      </w:r>
      <w:r w:rsidR="008F16E4">
        <w:rPr>
          <w:rFonts w:ascii="Times New Roman" w:hAnsi="Times New Roman"/>
          <w:color w:val="000000" w:themeColor="text1"/>
          <w:sz w:val="24"/>
          <w:szCs w:val="24"/>
        </w:rPr>
        <w:t xml:space="preserve"> 17011: 2017 </w:t>
      </w:r>
      <w:r>
        <w:rPr>
          <w:rFonts w:ascii="Times New Roman" w:hAnsi="Times New Roman"/>
          <w:color w:val="000000" w:themeColor="text1"/>
          <w:sz w:val="24"/>
          <w:szCs w:val="24"/>
        </w:rPr>
        <w:t>Procena</w:t>
      </w:r>
      <w:r w:rsidR="008F16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 w:rsidR="008F16E4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/>
          <w:color w:val="000000" w:themeColor="text1"/>
          <w:sz w:val="24"/>
          <w:szCs w:val="24"/>
        </w:rPr>
        <w:t>Zahtevi</w:t>
      </w:r>
      <w:r w:rsidR="008F16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8F16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akreditaciona</w:t>
      </w:r>
      <w:proofErr w:type="spellEnd"/>
      <w:r w:rsidR="008F16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tela</w:t>
      </w:r>
      <w:r w:rsidR="008F16E4">
        <w:rPr>
          <w:rFonts w:ascii="Times New Roman" w:hAnsi="Times New Roman"/>
          <w:color w:val="000000" w:themeColor="text1"/>
          <w:sz w:val="24"/>
          <w:szCs w:val="24"/>
        </w:rPr>
        <w:t xml:space="preserve"> koja akreditiraju organe za procenu usklađenosti.</w:t>
      </w:r>
    </w:p>
    <w:p w14:paraId="4345F09C" w14:textId="77777777" w:rsidR="00423182" w:rsidRPr="0037140F" w:rsidRDefault="00423182" w:rsidP="0037140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6D2C639D" w14:textId="2A219398" w:rsidR="00301AAD" w:rsidRPr="002E6B30" w:rsidRDefault="00337AE9" w:rsidP="002E6B3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32232242"/>
      <w:r>
        <w:rPr>
          <w:rFonts w:ascii="Times New Roman" w:hAnsi="Times New Roman"/>
          <w:color w:val="auto"/>
          <w:sz w:val="24"/>
          <w:szCs w:val="24"/>
        </w:rPr>
        <w:t>3. ODGOVORNOSTI</w:t>
      </w:r>
      <w:bookmarkEnd w:id="3"/>
    </w:p>
    <w:p w14:paraId="5AF68129" w14:textId="77777777" w:rsidR="00F01362" w:rsidRDefault="00F01362" w:rsidP="00D0482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  <w:lang w:val="en-GB"/>
        </w:rPr>
      </w:pPr>
    </w:p>
    <w:p w14:paraId="3DC5D6F0" w14:textId="10C1F505" w:rsidR="00D0482D" w:rsidRPr="00A643F7" w:rsidRDefault="007531FE" w:rsidP="00013F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Ovu</w:t>
      </w:r>
      <w:r w:rsidR="00F0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politiku</w:t>
      </w:r>
      <w:r w:rsidR="00F0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primenjuju</w:t>
      </w:r>
      <w:r w:rsidR="00F01362">
        <w:rPr>
          <w:rFonts w:ascii="Times New Roman" w:hAnsi="Times New Roman"/>
          <w:sz w:val="24"/>
          <w:szCs w:val="24"/>
        </w:rPr>
        <w:t xml:space="preserve"> unutrašnje i spoljašnje </w:t>
      </w:r>
      <w:proofErr w:type="spellStart"/>
      <w:r>
        <w:rPr>
          <w:rFonts w:ascii="Times New Roman" w:hAnsi="Times New Roman"/>
          <w:sz w:val="24"/>
          <w:szCs w:val="24"/>
        </w:rPr>
        <w:t>osoblјe</w:t>
      </w:r>
      <w:proofErr w:type="spellEnd"/>
      <w:r w:rsidR="00F0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F0136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F0136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uklјučeno</w:t>
      </w:r>
      <w:proofErr w:type="spellEnd"/>
      <w:r w:rsidR="00F0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F0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F01362">
        <w:rPr>
          <w:rFonts w:ascii="Times New Roman" w:hAnsi="Times New Roman"/>
          <w:sz w:val="24"/>
          <w:szCs w:val="24"/>
        </w:rPr>
        <w:t xml:space="preserve"> (procenjivači i stručnjaci pri </w:t>
      </w:r>
      <w:r>
        <w:rPr>
          <w:rFonts w:ascii="Times New Roman" w:hAnsi="Times New Roman"/>
          <w:sz w:val="24"/>
          <w:szCs w:val="24"/>
        </w:rPr>
        <w:t>PC</w:t>
      </w:r>
      <w:r w:rsidR="00F01362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AC</w:t>
      </w:r>
      <w:r w:rsidR="00F01362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TC</w:t>
      </w:r>
      <w:r w:rsidR="00F0136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</w:t>
      </w:r>
      <w:r w:rsidR="00F0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klijenti</w:t>
      </w:r>
      <w:r w:rsidR="00F0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F01362">
        <w:rPr>
          <w:rFonts w:ascii="Times New Roman" w:hAnsi="Times New Roman"/>
          <w:sz w:val="24"/>
          <w:szCs w:val="24"/>
        </w:rPr>
        <w:t xml:space="preserve">-a (OOU koji su </w:t>
      </w:r>
      <w:r>
        <w:rPr>
          <w:rFonts w:ascii="Times New Roman" w:hAnsi="Times New Roman"/>
          <w:sz w:val="24"/>
          <w:szCs w:val="24"/>
        </w:rPr>
        <w:t>akreditovani</w:t>
      </w:r>
      <w:r w:rsidR="00F0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0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traže</w:t>
      </w:r>
      <w:r w:rsidR="00F0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F0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F0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F0136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F01362">
        <w:rPr>
          <w:rFonts w:ascii="Times New Roman" w:hAnsi="Times New Roman"/>
          <w:sz w:val="24"/>
          <w:szCs w:val="24"/>
        </w:rPr>
        <w:t>).</w:t>
      </w:r>
    </w:p>
    <w:p w14:paraId="69D3953E" w14:textId="77777777" w:rsidR="00013FF1" w:rsidRPr="00DE678A" w:rsidRDefault="00013FF1" w:rsidP="00013FF1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en-GB"/>
        </w:rPr>
      </w:pPr>
    </w:p>
    <w:p w14:paraId="7511667A" w14:textId="6527FD7E" w:rsidR="005E4E2D" w:rsidRPr="00C04A53" w:rsidRDefault="00013FF1" w:rsidP="00C04A53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32232243"/>
      <w:r>
        <w:rPr>
          <w:rFonts w:ascii="Times New Roman" w:hAnsi="Times New Roman"/>
          <w:color w:val="auto"/>
          <w:sz w:val="24"/>
          <w:szCs w:val="24"/>
        </w:rPr>
        <w:t>4. REČNIK I SKRAČENICE</w:t>
      </w:r>
      <w:bookmarkEnd w:id="4"/>
    </w:p>
    <w:p w14:paraId="3795594C" w14:textId="77777777" w:rsidR="005E4E2D" w:rsidRPr="00DE678A" w:rsidRDefault="005E4E2D" w:rsidP="005E4E2D">
      <w:pPr>
        <w:pStyle w:val="Heading1"/>
        <w:tabs>
          <w:tab w:val="left" w:pos="567"/>
        </w:tabs>
        <w:spacing w:before="0" w:line="240" w:lineRule="auto"/>
        <w:rPr>
          <w:rFonts w:asciiTheme="majorBidi" w:eastAsia="Calibri" w:hAnsiTheme="majorBidi"/>
          <w:color w:val="000000" w:themeColor="text1"/>
          <w:sz w:val="24"/>
          <w:szCs w:val="24"/>
          <w:lang w:val="en-GB"/>
        </w:rPr>
      </w:pPr>
    </w:p>
    <w:p w14:paraId="778F7F90" w14:textId="14C6C0F2" w:rsidR="00B4796F" w:rsidRPr="00CE7926" w:rsidRDefault="000047AC" w:rsidP="00CE7926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32232244"/>
      <w:r>
        <w:rPr>
          <w:rFonts w:ascii="Times New Roman" w:hAnsi="Times New Roman"/>
          <w:b/>
          <w:color w:val="auto"/>
          <w:sz w:val="24"/>
          <w:szCs w:val="24"/>
        </w:rPr>
        <w:t xml:space="preserve">4.1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Rečnik</w:t>
      </w:r>
      <w:bookmarkEnd w:id="5"/>
    </w:p>
    <w:p w14:paraId="571DB80A" w14:textId="77777777" w:rsidR="00B4796F" w:rsidRPr="00DE678A" w:rsidRDefault="00B4796F" w:rsidP="005E4E2D">
      <w:pPr>
        <w:pStyle w:val="Heading1"/>
        <w:tabs>
          <w:tab w:val="left" w:pos="567"/>
        </w:tabs>
        <w:spacing w:before="0" w:line="240" w:lineRule="auto"/>
        <w:rPr>
          <w:rFonts w:asciiTheme="majorBidi" w:eastAsia="Calibri" w:hAnsiTheme="majorBidi"/>
          <w:color w:val="000000" w:themeColor="text1"/>
          <w:sz w:val="24"/>
          <w:szCs w:val="24"/>
          <w:lang w:val="en-GB"/>
        </w:rPr>
      </w:pPr>
    </w:p>
    <w:p w14:paraId="2A2A33DF" w14:textId="04946E3D" w:rsidR="00D33053" w:rsidRDefault="007531FE" w:rsidP="00A64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Toc894736"/>
      <w:r>
        <w:rPr>
          <w:rFonts w:ascii="Times New Roman" w:hAnsi="Times New Roman"/>
          <w:sz w:val="24"/>
          <w:szCs w:val="24"/>
        </w:rPr>
        <w:t>U</w:t>
      </w:r>
      <w:r w:rsidR="00025D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svrhu</w:t>
      </w:r>
      <w:r w:rsidR="00025D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 w:rsidR="00025D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Politike</w:t>
      </w:r>
      <w:r w:rsidR="00025DA4">
        <w:rPr>
          <w:rFonts w:ascii="Times New Roman" w:hAnsi="Times New Roman"/>
          <w:sz w:val="24"/>
          <w:szCs w:val="24"/>
        </w:rPr>
        <w:t xml:space="preserve"> važe </w:t>
      </w:r>
      <w:r>
        <w:rPr>
          <w:rFonts w:ascii="Times New Roman" w:hAnsi="Times New Roman"/>
          <w:sz w:val="24"/>
          <w:szCs w:val="24"/>
        </w:rPr>
        <w:t>odredbe</w:t>
      </w:r>
      <w:r w:rsidR="00025D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25D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definicije</w:t>
      </w:r>
      <w:r w:rsidR="00025D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 w:rsidR="00025DA4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>ISO</w:t>
      </w:r>
      <w:r w:rsidR="00025DA4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025DA4">
        <w:rPr>
          <w:rFonts w:ascii="Times New Roman" w:hAnsi="Times New Roman"/>
          <w:sz w:val="24"/>
          <w:szCs w:val="24"/>
        </w:rPr>
        <w:t xml:space="preserve"> 17011: 2017 i u nastavku. </w:t>
      </w:r>
    </w:p>
    <w:p w14:paraId="3014BC7E" w14:textId="77777777" w:rsidR="00D33053" w:rsidRDefault="00D33053" w:rsidP="00D330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68FF661" w14:textId="00CD3A31" w:rsidR="009C7628" w:rsidRPr="00A643F7" w:rsidRDefault="007531FE" w:rsidP="00D33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Nalaz</w:t>
      </w:r>
      <w:r w:rsidR="009C762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rezultat</w:t>
      </w:r>
      <w:r w:rsidR="009C7628">
        <w:rPr>
          <w:rFonts w:ascii="Times New Roman" w:hAnsi="Times New Roman"/>
          <w:sz w:val="24"/>
          <w:szCs w:val="24"/>
        </w:rPr>
        <w:t xml:space="preserve"> ocene </w:t>
      </w:r>
      <w:proofErr w:type="spellStart"/>
      <w:r>
        <w:rPr>
          <w:rFonts w:ascii="Times New Roman" w:hAnsi="Times New Roman"/>
          <w:sz w:val="24"/>
          <w:szCs w:val="24"/>
        </w:rPr>
        <w:t>prikuplјenih</w:t>
      </w:r>
      <w:proofErr w:type="spellEnd"/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dokaza</w:t>
      </w:r>
      <w:r w:rsidR="009C7628">
        <w:rPr>
          <w:rFonts w:ascii="Times New Roman" w:hAnsi="Times New Roman"/>
          <w:sz w:val="24"/>
          <w:szCs w:val="24"/>
        </w:rPr>
        <w:t xml:space="preserve"> naspram </w:t>
      </w:r>
      <w:r>
        <w:rPr>
          <w:rFonts w:ascii="Times New Roman" w:hAnsi="Times New Roman"/>
          <w:sz w:val="24"/>
          <w:szCs w:val="24"/>
        </w:rPr>
        <w:t>kriterijumima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9C76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Nalaz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može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ukazivati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usaglašenost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neusklađenost</w:t>
      </w:r>
      <w:r w:rsidR="009C7628">
        <w:rPr>
          <w:rFonts w:ascii="Times New Roman" w:hAnsi="Times New Roman"/>
          <w:sz w:val="24"/>
          <w:szCs w:val="24"/>
        </w:rPr>
        <w:t>.</w:t>
      </w:r>
      <w:bookmarkEnd w:id="6"/>
    </w:p>
    <w:p w14:paraId="7BEBC173" w14:textId="77777777" w:rsidR="009C7628" w:rsidRPr="009C5BC7" w:rsidRDefault="009C7628" w:rsidP="00D330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E694D4B" w14:textId="0CB28520" w:rsidR="009C7628" w:rsidRPr="009C5BC7" w:rsidRDefault="007531FE" w:rsidP="00D330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7" w:name="_Toc894737"/>
      <w:bookmarkStart w:id="8" w:name="_Toc939752"/>
      <w:r>
        <w:rPr>
          <w:rFonts w:ascii="Times New Roman" w:hAnsi="Times New Roman"/>
          <w:b/>
          <w:sz w:val="24"/>
          <w:szCs w:val="24"/>
        </w:rPr>
        <w:t>Dokaz</w:t>
      </w:r>
      <w:r w:rsidR="009C762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evidencije</w:t>
      </w:r>
      <w:r w:rsidR="009C76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izjave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činjenicama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druge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informacije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relevantne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kriterijume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9C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potvrditi</w:t>
      </w:r>
      <w:bookmarkEnd w:id="7"/>
      <w:bookmarkEnd w:id="8"/>
    </w:p>
    <w:p w14:paraId="48C6FB1B" w14:textId="77777777" w:rsidR="009C7628" w:rsidRPr="009C5BC7" w:rsidRDefault="009C7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49C11E1" w14:textId="1E8BADFC" w:rsidR="009C7628" w:rsidRPr="009C5BC7" w:rsidRDefault="009C7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9" w:name="_Toc894738"/>
      <w:bookmarkStart w:id="10" w:name="_Toc939753"/>
      <w:r>
        <w:rPr>
          <w:rFonts w:ascii="Times New Roman" w:hAnsi="Times New Roman"/>
          <w:b/>
          <w:sz w:val="24"/>
          <w:szCs w:val="24"/>
        </w:rPr>
        <w:t>Usklađenost</w:t>
      </w:r>
      <w:r>
        <w:rPr>
          <w:rFonts w:ascii="Times New Roman" w:hAnsi="Times New Roman"/>
          <w:sz w:val="24"/>
          <w:szCs w:val="24"/>
        </w:rPr>
        <w:t xml:space="preserve">: </w:t>
      </w:r>
      <w:r w:rsidR="007531FE">
        <w:rPr>
          <w:rFonts w:ascii="Times New Roman" w:hAnsi="Times New Roman"/>
          <w:sz w:val="24"/>
          <w:szCs w:val="24"/>
        </w:rPr>
        <w:t>ispunjenje</w:t>
      </w:r>
      <w:r>
        <w:rPr>
          <w:rFonts w:ascii="Times New Roman" w:hAnsi="Times New Roman"/>
          <w:sz w:val="24"/>
          <w:szCs w:val="24"/>
        </w:rPr>
        <w:t xml:space="preserve"> </w:t>
      </w:r>
      <w:r w:rsidR="007531FE">
        <w:rPr>
          <w:rFonts w:ascii="Times New Roman" w:hAnsi="Times New Roman"/>
          <w:sz w:val="24"/>
          <w:szCs w:val="24"/>
        </w:rPr>
        <w:t>uslova</w:t>
      </w:r>
      <w:bookmarkEnd w:id="9"/>
      <w:bookmarkEnd w:id="10"/>
    </w:p>
    <w:p w14:paraId="42669AC3" w14:textId="77777777" w:rsidR="001B33EE" w:rsidRPr="009C5BC7" w:rsidRDefault="001B33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54C0341" w14:textId="24304161" w:rsidR="009C7628" w:rsidRPr="009C5BC7" w:rsidRDefault="009C7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1" w:name="_Toc894739"/>
      <w:bookmarkStart w:id="12" w:name="_Toc939754"/>
      <w:r>
        <w:rPr>
          <w:rFonts w:ascii="Times New Roman" w:hAnsi="Times New Roman"/>
          <w:b/>
          <w:sz w:val="24"/>
          <w:szCs w:val="24"/>
        </w:rPr>
        <w:t>Neusklađenost:</w:t>
      </w:r>
      <w:r>
        <w:rPr>
          <w:rFonts w:ascii="Times New Roman" w:hAnsi="Times New Roman"/>
          <w:sz w:val="24"/>
          <w:szCs w:val="24"/>
        </w:rPr>
        <w:t xml:space="preserve"> neispunjenje </w:t>
      </w:r>
      <w:r w:rsidR="007531FE">
        <w:rPr>
          <w:rFonts w:ascii="Times New Roman" w:hAnsi="Times New Roman"/>
          <w:sz w:val="24"/>
          <w:szCs w:val="24"/>
        </w:rPr>
        <w:t>zahteva</w:t>
      </w:r>
      <w:bookmarkEnd w:id="11"/>
      <w:bookmarkEnd w:id="12"/>
    </w:p>
    <w:p w14:paraId="0025BB58" w14:textId="77777777" w:rsidR="001B33EE" w:rsidRPr="009C5BC7" w:rsidRDefault="001B33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65C9F05" w14:textId="77777777" w:rsidR="00545AAE" w:rsidRPr="00DE678A" w:rsidRDefault="00545AAE" w:rsidP="001B33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A4D523D" w14:textId="75726B8C" w:rsidR="001B33EE" w:rsidRPr="00F569FF" w:rsidRDefault="000047AC" w:rsidP="00F569FF">
      <w:pPr>
        <w:pStyle w:val="Heading2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13" w:name="_Toc32232245"/>
      <w:r>
        <w:rPr>
          <w:rFonts w:ascii="Times New Roman" w:hAnsi="Times New Roman"/>
          <w:b/>
          <w:color w:val="auto"/>
          <w:sz w:val="24"/>
          <w:szCs w:val="24"/>
        </w:rPr>
        <w:t xml:space="preserve">4.2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Skraćenice</w:t>
      </w:r>
      <w:bookmarkEnd w:id="13"/>
    </w:p>
    <w:p w14:paraId="1358DCAF" w14:textId="77777777" w:rsidR="001B33EE" w:rsidRPr="00DE678A" w:rsidRDefault="001B33EE" w:rsidP="001B33E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1B33EE" w:rsidRPr="00DE678A" w14:paraId="77AD3F41" w14:textId="77777777" w:rsidTr="0044655A">
        <w:tc>
          <w:tcPr>
            <w:tcW w:w="2122" w:type="dxa"/>
          </w:tcPr>
          <w:p w14:paraId="5316D5FA" w14:textId="77777777" w:rsidR="000C2300" w:rsidRDefault="000C2300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2E1BBEB3" w14:textId="77777777" w:rsidR="001B33EE" w:rsidRPr="00DE678A" w:rsidRDefault="001B33E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OOU</w:t>
            </w:r>
          </w:p>
        </w:tc>
        <w:tc>
          <w:tcPr>
            <w:tcW w:w="7087" w:type="dxa"/>
          </w:tcPr>
          <w:p w14:paraId="796F9B8F" w14:textId="77777777" w:rsidR="000C2300" w:rsidRDefault="000C2300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Procenjivač</w:t>
            </w:r>
          </w:p>
          <w:p w14:paraId="49AFC88A" w14:textId="5BEC097F" w:rsidR="001B33EE" w:rsidRPr="00DE678A" w:rsidRDefault="001B33E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 za procenu </w:t>
            </w:r>
            <w:r w:rsidR="007531FE">
              <w:rPr>
                <w:rFonts w:ascii="Times New Roman" w:hAnsi="Times New Roman"/>
                <w:sz w:val="24"/>
                <w:szCs w:val="24"/>
              </w:rPr>
              <w:t>usaglašenosti</w:t>
            </w:r>
          </w:p>
        </w:tc>
      </w:tr>
      <w:tr w:rsidR="001B33EE" w:rsidRPr="00DE678A" w14:paraId="511A5C92" w14:textId="77777777" w:rsidTr="0044655A">
        <w:tc>
          <w:tcPr>
            <w:tcW w:w="2122" w:type="dxa"/>
          </w:tcPr>
          <w:p w14:paraId="4C609ABF" w14:textId="77777777" w:rsidR="001B33EE" w:rsidRPr="00DE678A" w:rsidRDefault="001B33E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</w:t>
            </w:r>
          </w:p>
        </w:tc>
        <w:tc>
          <w:tcPr>
            <w:tcW w:w="7087" w:type="dxa"/>
          </w:tcPr>
          <w:p w14:paraId="311D6E39" w14:textId="61961D86" w:rsidR="001B33EE" w:rsidRPr="00DE678A" w:rsidRDefault="007531F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</w:t>
            </w:r>
            <w:r w:rsidR="00773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E6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Generalna</w:t>
            </w:r>
            <w:r w:rsidR="00773E6A">
              <w:rPr>
                <w:rFonts w:ascii="Times New Roman" w:hAnsi="Times New Roman"/>
                <w:sz w:val="24"/>
                <w:szCs w:val="24"/>
              </w:rPr>
              <w:t xml:space="preserve"> Kosovska </w:t>
            </w: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  <w:r w:rsidR="00773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773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</w:tc>
      </w:tr>
      <w:tr w:rsidR="00545AAE" w:rsidRPr="00DE678A" w14:paraId="4C3D64BE" w14:textId="77777777" w:rsidTr="0044655A">
        <w:tc>
          <w:tcPr>
            <w:tcW w:w="2122" w:type="dxa"/>
          </w:tcPr>
          <w:p w14:paraId="0731A717" w14:textId="77777777" w:rsidR="00BB196E" w:rsidRDefault="00BB196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 (Stručni savet - PC)</w:t>
            </w:r>
          </w:p>
          <w:p w14:paraId="16E3E417" w14:textId="77777777" w:rsidR="00BB196E" w:rsidRDefault="00BB196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SA(Savet za Akreditaciju - AS)</w:t>
            </w:r>
          </w:p>
          <w:p w14:paraId="3FB20BD0" w14:textId="77777777" w:rsidR="00BB196E" w:rsidRPr="00DE678A" w:rsidRDefault="00BB196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 (Tehnički komitet - TC)</w:t>
            </w:r>
          </w:p>
        </w:tc>
        <w:tc>
          <w:tcPr>
            <w:tcW w:w="7087" w:type="dxa"/>
          </w:tcPr>
          <w:p w14:paraId="2EF23BDF" w14:textId="074856A4" w:rsidR="00BB196E" w:rsidRDefault="007531F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Stručni</w:t>
            </w:r>
            <w:r w:rsidR="00BB1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savet</w:t>
            </w:r>
          </w:p>
          <w:p w14:paraId="1DEFB56D" w14:textId="71EFB59C" w:rsidR="00BB196E" w:rsidRDefault="007531F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Savet</w:t>
            </w:r>
            <w:r w:rsidR="00BB1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BB1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  <w:p w14:paraId="100FE128" w14:textId="48BB03C7" w:rsidR="00BB196E" w:rsidRPr="00DE678A" w:rsidRDefault="007531F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</w:t>
            </w:r>
            <w:r w:rsidR="00BB1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komitet</w:t>
            </w:r>
          </w:p>
        </w:tc>
      </w:tr>
      <w:tr w:rsidR="001B33EE" w:rsidRPr="00DE678A" w14:paraId="24E90ADD" w14:textId="77777777" w:rsidTr="0044655A">
        <w:tc>
          <w:tcPr>
            <w:tcW w:w="2122" w:type="dxa"/>
          </w:tcPr>
          <w:p w14:paraId="6A4EA31D" w14:textId="77777777" w:rsidR="001B33EE" w:rsidRPr="00DE678A" w:rsidRDefault="001B33E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VP</w:t>
            </w:r>
          </w:p>
        </w:tc>
        <w:tc>
          <w:tcPr>
            <w:tcW w:w="7087" w:type="dxa"/>
          </w:tcPr>
          <w:p w14:paraId="65D4846C" w14:textId="3621584E" w:rsidR="001B33EE" w:rsidRPr="00DE678A" w:rsidRDefault="007531F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Vodeći</w:t>
            </w:r>
            <w:r w:rsidR="001B33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procenjivač</w:t>
            </w:r>
          </w:p>
        </w:tc>
      </w:tr>
      <w:tr w:rsidR="001B33EE" w:rsidRPr="00DE678A" w14:paraId="6DF3AA47" w14:textId="77777777" w:rsidTr="0044655A">
        <w:tc>
          <w:tcPr>
            <w:tcW w:w="2122" w:type="dxa"/>
          </w:tcPr>
          <w:p w14:paraId="1B527BC8" w14:textId="77777777" w:rsidR="001B33EE" w:rsidRPr="00DE678A" w:rsidRDefault="001B33E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</w:t>
            </w:r>
          </w:p>
        </w:tc>
        <w:tc>
          <w:tcPr>
            <w:tcW w:w="7087" w:type="dxa"/>
          </w:tcPr>
          <w:p w14:paraId="466363AC" w14:textId="2F2E8853" w:rsidR="001B33EE" w:rsidRPr="00DE678A" w:rsidRDefault="007531F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</w:t>
            </w:r>
            <w:r w:rsidR="001B33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procenjivač</w:t>
            </w:r>
          </w:p>
        </w:tc>
      </w:tr>
      <w:tr w:rsidR="001B33EE" w:rsidRPr="00DE678A" w14:paraId="29FF2B65" w14:textId="77777777" w:rsidTr="0044655A">
        <w:tc>
          <w:tcPr>
            <w:tcW w:w="2122" w:type="dxa"/>
          </w:tcPr>
          <w:p w14:paraId="37D85C1B" w14:textId="77777777" w:rsidR="001B33EE" w:rsidRPr="00DE678A" w:rsidRDefault="001B33E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7087" w:type="dxa"/>
          </w:tcPr>
          <w:p w14:paraId="02524A75" w14:textId="432006B4" w:rsidR="001B33EE" w:rsidRPr="00DE678A" w:rsidRDefault="007531FE" w:rsidP="001B33E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</w:t>
            </w:r>
            <w:r w:rsidR="001B33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stručnjak</w:t>
            </w:r>
          </w:p>
        </w:tc>
      </w:tr>
    </w:tbl>
    <w:p w14:paraId="43447618" w14:textId="01E16703" w:rsidR="007B4878" w:rsidRPr="003D22CF" w:rsidRDefault="009C7628" w:rsidP="00A643F7">
      <w:pPr>
        <w:pStyle w:val="Heading1"/>
        <w:tabs>
          <w:tab w:val="left" w:pos="567"/>
        </w:tabs>
        <w:spacing w:before="0" w:line="240" w:lineRule="auto"/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</w:p>
    <w:p w14:paraId="3473591A" w14:textId="3FC6DA9D" w:rsidR="007B4878" w:rsidRPr="00220A9C" w:rsidRDefault="00220A9C" w:rsidP="00220A9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32232246"/>
      <w:r>
        <w:rPr>
          <w:rFonts w:ascii="Times New Roman" w:hAnsi="Times New Roman"/>
          <w:color w:val="auto"/>
          <w:sz w:val="24"/>
          <w:szCs w:val="24"/>
        </w:rPr>
        <w:t xml:space="preserve">5. </w:t>
      </w:r>
      <w:r w:rsidR="007531FE">
        <w:rPr>
          <w:rFonts w:ascii="Times New Roman" w:hAnsi="Times New Roman"/>
          <w:color w:val="auto"/>
          <w:sz w:val="24"/>
          <w:szCs w:val="24"/>
        </w:rPr>
        <w:t>OPIS</w:t>
      </w:r>
      <w:r>
        <w:rPr>
          <w:rFonts w:ascii="Times New Roman" w:hAnsi="Times New Roman"/>
          <w:color w:val="auto"/>
          <w:sz w:val="24"/>
          <w:szCs w:val="24"/>
        </w:rPr>
        <w:t xml:space="preserve"> POLITIKE</w:t>
      </w:r>
      <w:bookmarkEnd w:id="14"/>
    </w:p>
    <w:p w14:paraId="482E00E1" w14:textId="77777777" w:rsidR="007B4878" w:rsidRPr="007B4878" w:rsidRDefault="007B4878" w:rsidP="007B4878">
      <w:pPr>
        <w:spacing w:after="0" w:line="240" w:lineRule="auto"/>
        <w:rPr>
          <w:lang w:val="en-GB"/>
        </w:rPr>
      </w:pPr>
    </w:p>
    <w:p w14:paraId="27E487B0" w14:textId="585B8886" w:rsidR="00DE678A" w:rsidRPr="006A050D" w:rsidRDefault="00D33053" w:rsidP="006A050D">
      <w:pPr>
        <w:pStyle w:val="Heading2"/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</w:rPr>
      </w:pPr>
      <w:bookmarkStart w:id="15" w:name="_Toc32232247"/>
      <w:bookmarkEnd w:id="0"/>
      <w:r>
        <w:rPr>
          <w:rFonts w:ascii="Times New Roman" w:hAnsi="Times New Roman"/>
          <w:b/>
          <w:color w:val="auto"/>
          <w:sz w:val="24"/>
          <w:szCs w:val="24"/>
        </w:rPr>
        <w:t xml:space="preserve">5.1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Opšta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pravila</w:t>
      </w:r>
      <w:bookmarkEnd w:id="15"/>
    </w:p>
    <w:p w14:paraId="05363D83" w14:textId="77777777" w:rsidR="00DE678A" w:rsidRPr="00DE678A" w:rsidRDefault="00DE678A" w:rsidP="00DE678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0CE28483" w14:textId="13CC0ED4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određenu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vrstu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tj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>. p</w:t>
      </w:r>
      <w:r>
        <w:rPr>
          <w:rFonts w:ascii="Times New Roman" w:hAnsi="Times New Roman"/>
          <w:color w:val="000000" w:themeColor="text1"/>
          <w:sz w:val="24"/>
          <w:szCs w:val="24"/>
        </w:rPr>
        <w:t>očetna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proširenje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opsega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nadzor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obnavljanje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</w:rPr>
        <w:t>zavisi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delokruga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broja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lokacija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veličine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OOU.</w:t>
      </w:r>
    </w:p>
    <w:p w14:paraId="690258B9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1A12A7D2" w14:textId="2607BEE4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Dani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procene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obuhvataju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različite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vrste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tehnika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procene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npr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>. p</w:t>
      </w:r>
      <w:r>
        <w:rPr>
          <w:rFonts w:ascii="Times New Roman" w:hAnsi="Times New Roman"/>
          <w:color w:val="000000" w:themeColor="text1"/>
          <w:sz w:val="24"/>
          <w:szCs w:val="24"/>
        </w:rPr>
        <w:t>rocena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licu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mesta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dalјinsko</w:t>
      </w:r>
      <w:proofErr w:type="spellEnd"/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svedočenje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pregled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dokumenta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pregled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dosijea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revizija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merenja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pregled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učinka u </w:t>
      </w:r>
      <w:r>
        <w:rPr>
          <w:rFonts w:ascii="Times New Roman" w:hAnsi="Times New Roman"/>
          <w:color w:val="000000" w:themeColor="text1"/>
          <w:sz w:val="24"/>
          <w:szCs w:val="24"/>
        </w:rPr>
        <w:t>testiranj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u </w:t>
      </w:r>
      <w:r>
        <w:rPr>
          <w:rFonts w:ascii="Times New Roman" w:hAnsi="Times New Roman"/>
          <w:color w:val="000000" w:themeColor="text1"/>
          <w:sz w:val="24"/>
          <w:szCs w:val="24"/>
        </w:rPr>
        <w:t>stručnosti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intervjuisanje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nenajavljena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poseta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14:paraId="58BCEB5E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629E6B4F" w14:textId="12330606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Sastavni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deo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procene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davanje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održavanje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svedočenje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radu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OOU-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kako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dobio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objektivni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dokaz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sposoban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obavlјanje</w:t>
      </w:r>
      <w:proofErr w:type="spellEnd"/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aktivnosti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svedočenja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mora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biti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reprezentativan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traženi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odobreni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delokrug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Kriterijumi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određivanje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broja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svedočenja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mogu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obuhvatati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sledeće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287A0B2" w14:textId="72CD6012" w:rsidR="00DE678A" w:rsidRPr="00DE678A" w:rsidRDefault="007531FE" w:rsidP="00DE678A">
      <w:pPr>
        <w:pStyle w:val="ListParagraph"/>
        <w:numPr>
          <w:ilvl w:val="0"/>
          <w:numId w:val="28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složenost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aktivnosti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582CB530" w14:textId="2389A177" w:rsidR="00DE678A" w:rsidRPr="00DE678A" w:rsidRDefault="007531FE" w:rsidP="00DE678A">
      <w:pPr>
        <w:pStyle w:val="ListParagraph"/>
        <w:numPr>
          <w:ilvl w:val="0"/>
          <w:numId w:val="2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aktivnosti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potencijalnim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rizikom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462FDB43" w14:textId="4980D7BF" w:rsidR="00DE678A" w:rsidRPr="00DE678A" w:rsidRDefault="007531FE" w:rsidP="00DE678A">
      <w:pPr>
        <w:pStyle w:val="ListParagraph"/>
        <w:numPr>
          <w:ilvl w:val="0"/>
          <w:numId w:val="2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odnos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između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standardnih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nestandardnih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metoda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ispitivanja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kalibracije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npr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specifikacije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korisnika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internih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metoda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OOU </w:t>
      </w:r>
      <w:r>
        <w:rPr>
          <w:rFonts w:ascii="Times New Roman" w:hAnsi="Times New Roman"/>
          <w:color w:val="000000" w:themeColor="text1"/>
          <w:sz w:val="24"/>
          <w:szCs w:val="24"/>
        </w:rPr>
        <w:t>razvio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testiranje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kalibraciju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metoda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inspekcije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4FB779A" w14:textId="1CCEBACB" w:rsidR="00DE678A" w:rsidRPr="00DE678A" w:rsidRDefault="007531FE" w:rsidP="00DE678A">
      <w:pPr>
        <w:pStyle w:val="ListParagraph"/>
        <w:numPr>
          <w:ilvl w:val="0"/>
          <w:numId w:val="2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odnos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između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posmatranja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aktivnosti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inspekcije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izveštaja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sertifikata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potvrde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evidencije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evidencije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kontroli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kvaliteta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pregleda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opreme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testiranje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2E2815C1" w14:textId="64E1B609" w:rsidR="00DE678A" w:rsidRPr="00DE678A" w:rsidRDefault="00DE678A" w:rsidP="00DE678A">
      <w:pPr>
        <w:pStyle w:val="ListParagraph"/>
        <w:numPr>
          <w:ilvl w:val="0"/>
          <w:numId w:val="2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interval </w:t>
      </w:r>
      <w:r w:rsidR="007531FE">
        <w:rPr>
          <w:rFonts w:ascii="Times New Roman" w:hAnsi="Times New Roman"/>
          <w:color w:val="000000" w:themeColor="text1"/>
          <w:sz w:val="24"/>
          <w:szCs w:val="24"/>
        </w:rPr>
        <w:t>aktivnosti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31FE"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31FE"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31FE">
        <w:rPr>
          <w:rFonts w:ascii="Times New Roman" w:hAnsi="Times New Roman"/>
          <w:color w:val="000000" w:themeColor="text1"/>
          <w:sz w:val="24"/>
          <w:szCs w:val="24"/>
        </w:rPr>
        <w:t>koje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31FE">
        <w:rPr>
          <w:rFonts w:ascii="Times New Roman" w:hAnsi="Times New Roman"/>
          <w:color w:val="000000" w:themeColor="text1"/>
          <w:sz w:val="24"/>
          <w:szCs w:val="24"/>
        </w:rPr>
        <w:t>se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vrše; </w:t>
      </w:r>
    </w:p>
    <w:p w14:paraId="52D7598A" w14:textId="2E4A465F" w:rsidR="00DE678A" w:rsidRPr="00DE678A" w:rsidRDefault="007531FE" w:rsidP="00DE678A">
      <w:pPr>
        <w:pStyle w:val="ListParagraph"/>
        <w:numPr>
          <w:ilvl w:val="0"/>
          <w:numId w:val="2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pritužbe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podnesene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protiv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rada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OOU-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zbog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specifičnih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aktivnosti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A92E777" w14:textId="77777777" w:rsidR="00DE678A" w:rsidRPr="00DE678A" w:rsidRDefault="00DE678A" w:rsidP="00DE678A">
      <w:pPr>
        <w:pStyle w:val="ListParagraph"/>
        <w:spacing w:before="120" w:after="0" w:line="240" w:lineRule="auto"/>
        <w:ind w:left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60C67C06" w14:textId="5AFDEA87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Ako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vrši testiranje, </w:t>
      </w:r>
      <w:r>
        <w:rPr>
          <w:rFonts w:ascii="Times New Roman" w:hAnsi="Times New Roman"/>
          <w:color w:val="000000" w:themeColor="text1"/>
          <w:sz w:val="24"/>
          <w:szCs w:val="24"/>
        </w:rPr>
        <w:t>kalibracija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inspekcija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zahtevanog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akreditovanog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delokruga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vrši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nekoliko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lokacija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svim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lokacijama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kojima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vode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klјučne</w:t>
      </w:r>
      <w:proofErr w:type="spellEnd"/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aktivnosti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npr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>. f</w:t>
      </w:r>
      <w:r>
        <w:rPr>
          <w:rFonts w:ascii="Times New Roman" w:hAnsi="Times New Roman"/>
          <w:color w:val="000000" w:themeColor="text1"/>
          <w:sz w:val="24"/>
          <w:szCs w:val="24"/>
        </w:rPr>
        <w:t>ormulacija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politike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razvoj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metoda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procedura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pregled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ugovora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planiranje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aktivnosti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) , </w:t>
      </w:r>
      <w:r>
        <w:rPr>
          <w:rFonts w:ascii="Times New Roman" w:hAnsi="Times New Roman"/>
          <w:color w:val="000000" w:themeColor="text1"/>
          <w:sz w:val="24"/>
          <w:szCs w:val="24"/>
        </w:rPr>
        <w:t>sprovođenje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aktivnosti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pregled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odobravanje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rezultata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donošenje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odluka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rezultatima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usaglašenosti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</w:rPr>
        <w:t>vršiće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tokom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početne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ciklusu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sve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lokacije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koje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pripadaju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ispitivanju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kalibraciji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ili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inspekciji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gde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obavlјaju</w:t>
      </w:r>
      <w:proofErr w:type="spellEnd"/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klјučne</w:t>
      </w:r>
      <w:proofErr w:type="spellEnd"/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aktivnosti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biće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ocenjene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najmanje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jednom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Izbor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lokacija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procenu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zavisi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rezultata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prethodne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procene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.    </w:t>
      </w:r>
    </w:p>
    <w:p w14:paraId="3990CA12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02A4F0DB" w14:textId="5CED8666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Pored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broja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članovima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tima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isplaćuju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naknade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aktivnosti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posle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procene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kao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što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CB8ACA5" w14:textId="59AAD166" w:rsidR="00DE678A" w:rsidRPr="00DE678A" w:rsidRDefault="007531FE" w:rsidP="00DE678A">
      <w:pPr>
        <w:pStyle w:val="ListParagraph"/>
        <w:numPr>
          <w:ilvl w:val="0"/>
          <w:numId w:val="29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aktivnosti</w:t>
      </w:r>
      <w:r w:rsidR="00DE678A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pre</w:t>
      </w:r>
      <w:r w:rsidR="00DE678A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procene</w:t>
      </w:r>
      <w:r w:rsidR="00DE678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priprema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procenu</w:t>
      </w:r>
      <w:r w:rsidR="00DE678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uklјučujući</w:t>
      </w:r>
      <w:proofErr w:type="spellEnd"/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pregled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dokumentacije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podnosioca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prijave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priprema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plana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procene</w:t>
      </w:r>
    </w:p>
    <w:p w14:paraId="23C3FA6E" w14:textId="3B9F01E6" w:rsidR="00DE678A" w:rsidRPr="00DE678A" w:rsidRDefault="007531FE" w:rsidP="00DE678A">
      <w:pPr>
        <w:pStyle w:val="ListParagraph"/>
        <w:numPr>
          <w:ilvl w:val="0"/>
          <w:numId w:val="29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aktivnosti</w:t>
      </w:r>
      <w:r w:rsidR="00DE678A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nakon</w:t>
      </w:r>
      <w:r w:rsidR="00DE678A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procene</w:t>
      </w:r>
      <w:r w:rsidR="00DE678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izveštavanje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rezultatima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procene</w:t>
      </w:r>
      <w:r w:rsidR="00DE678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ažuriranje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programa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procene</w:t>
      </w:r>
      <w:r w:rsidR="00DE678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procena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korektivnih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radnji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podnosioca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zahteva</w:t>
      </w:r>
      <w:r w:rsidR="00DE678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sastavlјanje</w:t>
      </w:r>
      <w:proofErr w:type="spellEnd"/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dokumentacije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donošenje</w:t>
      </w:r>
      <w:r w:rsidR="00DE6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odluka</w:t>
      </w:r>
      <w:r w:rsidR="00DE678A">
        <w:rPr>
          <w:rFonts w:ascii="Times New Roman" w:hAnsi="Times New Roman"/>
          <w:sz w:val="24"/>
          <w:szCs w:val="24"/>
        </w:rPr>
        <w:t>.</w:t>
      </w:r>
    </w:p>
    <w:p w14:paraId="306B192E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17B1D264" w14:textId="46006180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uzima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obzir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svih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članova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tima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procenu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odnosno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vodećeg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procenjivača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tehničkog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procenjivača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procenjivača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tehničkog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stručnjaka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imenovani u ekipi procene. </w:t>
      </w:r>
      <w:r>
        <w:rPr>
          <w:rFonts w:ascii="Times New Roman" w:hAnsi="Times New Roman"/>
          <w:color w:val="000000" w:themeColor="text1"/>
          <w:sz w:val="24"/>
          <w:szCs w:val="24"/>
        </w:rPr>
        <w:t>Tehnički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stručnjaci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imenovani u </w:t>
      </w:r>
      <w:r>
        <w:rPr>
          <w:rFonts w:ascii="Times New Roman" w:hAnsi="Times New Roman"/>
          <w:color w:val="000000" w:themeColor="text1"/>
          <w:sz w:val="24"/>
          <w:szCs w:val="24"/>
        </w:rPr>
        <w:t>timu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mogu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raditi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samo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pod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nadzorom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tokom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procene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zato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, za ovu aktivnost,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dodatno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imenuje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procenjivača (procenjivače)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tim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Dani</w:t>
      </w:r>
      <w:r w:rsidR="00DE678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procene</w:t>
      </w:r>
      <w:r w:rsidR="00DE678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nadzornih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procenjivača</w:t>
      </w:r>
      <w:r w:rsidR="00DE678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dodaju</w:t>
      </w:r>
      <w:r w:rsidR="00DE678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se</w:t>
      </w:r>
      <w:r w:rsidR="00DE678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broju</w:t>
      </w:r>
      <w:r w:rsidR="00DE678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dana ocenjivanja iznetih u nastavku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BE10BE7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23925647" w14:textId="73B64C8F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Administrativno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uputstvo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MTI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</w:rPr>
        <w:t>br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. 03/2018 o utvrđivanju </w:t>
      </w:r>
      <w:r>
        <w:rPr>
          <w:rFonts w:ascii="Times New Roman" w:hAnsi="Times New Roman"/>
          <w:color w:val="000000" w:themeColor="text1"/>
          <w:sz w:val="24"/>
          <w:szCs w:val="24"/>
        </w:rPr>
        <w:t>tarifa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akreditaciju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reguliše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naknadu ocenjivanja po satu.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obično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obračunava da je </w:t>
      </w:r>
    </w:p>
    <w:p w14:paraId="4004AA36" w14:textId="2825AA9E" w:rsidR="00DE678A" w:rsidRPr="00DE678A" w:rsidRDefault="00DE678A" w:rsidP="00A643F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 </w:t>
      </w:r>
      <w:r w:rsidR="007531FE">
        <w:rPr>
          <w:rFonts w:ascii="Times New Roman" w:hAnsi="Times New Roman"/>
          <w:b/>
          <w:bCs/>
          <w:color w:val="000000" w:themeColor="text1"/>
          <w:sz w:val="24"/>
          <w:szCs w:val="24"/>
        </w:rPr>
        <w:t>dan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bCs/>
          <w:color w:val="000000" w:themeColor="text1"/>
          <w:sz w:val="24"/>
          <w:szCs w:val="24"/>
        </w:rPr>
        <w:t>procene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bCs/>
          <w:color w:val="000000" w:themeColor="text1"/>
          <w:sz w:val="24"/>
          <w:szCs w:val="24"/>
        </w:rPr>
        <w:t>jednak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6 </w:t>
      </w:r>
      <w:r w:rsidR="007531FE">
        <w:rPr>
          <w:rFonts w:ascii="Times New Roman" w:hAnsi="Times New Roman"/>
          <w:b/>
          <w:bCs/>
          <w:color w:val="000000" w:themeColor="text1"/>
          <w:sz w:val="24"/>
          <w:szCs w:val="24"/>
        </w:rPr>
        <w:t>sati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0E02B598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18FD4D75" w14:textId="0CFDE065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Ova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praksa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DAK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uzima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obzir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utvrđivanje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ocenjivanje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nastavku</w:t>
      </w:r>
      <w:r w:rsidR="00DE678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8912EAF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04B8DDB9" w14:textId="77777777" w:rsidR="000C2300" w:rsidRPr="00DE678A" w:rsidRDefault="000C2300" w:rsidP="00DE6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431EB622" w14:textId="5B26D912" w:rsidR="00DE678A" w:rsidRPr="00F915CB" w:rsidRDefault="0038743A" w:rsidP="00F915CB">
      <w:pPr>
        <w:pStyle w:val="Heading2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16" w:name="_Toc32232248"/>
      <w:r>
        <w:rPr>
          <w:rFonts w:ascii="Times New Roman" w:hAnsi="Times New Roman"/>
          <w:b/>
          <w:color w:val="auto"/>
          <w:sz w:val="24"/>
          <w:szCs w:val="24"/>
        </w:rPr>
        <w:t xml:space="preserve">5.2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Broj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dana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ocenjivanja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za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laboratorije</w:t>
      </w:r>
      <w:bookmarkEnd w:id="16"/>
    </w:p>
    <w:p w14:paraId="0C3E0B79" w14:textId="77777777" w:rsidR="00DE678A" w:rsidRPr="00A643F7" w:rsidRDefault="00DE678A" w:rsidP="00DE678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434AE19F" w14:textId="36153820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laboratorija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testiranje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kalibraciju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obračunava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osnovu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testova /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metoda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/ tehnika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kalibracije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tehničkih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područja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/ pod-područja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definiranih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>-03-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Aneksu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Aktivnosti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kriterijumi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Tabele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nastavku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potreban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procenu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početnu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proširenje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obima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procenu putem posmatranja. </w:t>
      </w:r>
    </w:p>
    <w:p w14:paraId="2ABE613D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64A517C8" w14:textId="2D35DFE9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Kada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proširenje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obima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vrši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tokom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procene putem posmatranja,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dodaje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još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najmanje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50%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procene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izračunat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ih shodno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tabeli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primer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kada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laboratorija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testiranje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kalibraciju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zahteva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proširi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delokrug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novo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tehničko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područje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10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metoda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ispitivanja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kalibracije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nadzora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dodaje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jedan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plus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vreme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provedeno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posmatranje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izvan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laboratorij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ako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primenlјivo</w:t>
      </w:r>
      <w:proofErr w:type="spellEnd"/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C8E3D75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67D87743" w14:textId="0004B32B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procene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obnovu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obično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20%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manji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od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procene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početnu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64234C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7AAB1244" w14:textId="389A908E" w:rsidR="00DE678A" w:rsidRPr="00DE678A" w:rsidRDefault="007531FE" w:rsidP="00A643F7">
      <w:pPr>
        <w:spacing w:before="120" w:after="6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Tabela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početnu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proširenje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delokruga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302"/>
        <w:gridCol w:w="1812"/>
        <w:gridCol w:w="1813"/>
        <w:gridCol w:w="1817"/>
      </w:tblGrid>
      <w:tr w:rsidR="00DE678A" w:rsidRPr="00DE678A" w14:paraId="3834D44F" w14:textId="77777777" w:rsidTr="00A643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BE0E" w14:textId="77777777" w:rsidR="00DE678A" w:rsidRPr="00DE678A" w:rsidRDefault="00DE678A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CFE298" w14:textId="606EC070" w:rsidR="00DE678A" w:rsidRPr="00DE678A" w:rsidRDefault="007531F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Broj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metoda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testiranja /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kalibracije</w:t>
            </w:r>
          </w:p>
        </w:tc>
      </w:tr>
      <w:tr w:rsidR="00DE678A" w:rsidRPr="00DE678A" w14:paraId="1857DAA8" w14:textId="77777777" w:rsidTr="00A643F7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C1B489" w14:textId="3444EB92" w:rsidR="00DE678A" w:rsidRPr="00DE678A" w:rsidRDefault="007531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Broj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tehničkih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područja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pod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područja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7E3CD" w14:textId="77777777" w:rsidR="00DE678A" w:rsidRPr="00DE678A" w:rsidRDefault="00DE678A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2B2F39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1-25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BF925F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26-50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F193B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</w:tr>
      <w:tr w:rsidR="00DE678A" w:rsidRPr="00DE678A" w14:paraId="7134BF4B" w14:textId="77777777" w:rsidTr="00A643F7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19EC" w14:textId="77777777" w:rsidR="00DE678A" w:rsidRPr="00DE678A" w:rsidRDefault="00DE678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2B6A19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0233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0C15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6C41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3-4</w:t>
            </w:r>
          </w:p>
        </w:tc>
      </w:tr>
      <w:tr w:rsidR="00DE678A" w:rsidRPr="00DE678A" w14:paraId="22E0DC65" w14:textId="77777777" w:rsidTr="00A643F7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9D9B" w14:textId="77777777" w:rsidR="00DE678A" w:rsidRPr="00DE678A" w:rsidRDefault="00DE678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F9F270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9632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B808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4-5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E9C5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5-6</w:t>
            </w:r>
          </w:p>
        </w:tc>
      </w:tr>
      <w:tr w:rsidR="00DE678A" w:rsidRPr="00DE678A" w14:paraId="542303CB" w14:textId="77777777" w:rsidTr="00A643F7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E084" w14:textId="77777777" w:rsidR="00DE678A" w:rsidRPr="00DE678A" w:rsidRDefault="00DE678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8E8EB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455A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808F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D952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6-7</w:t>
            </w:r>
          </w:p>
        </w:tc>
      </w:tr>
    </w:tbl>
    <w:p w14:paraId="5E5556E4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0AF341FF" w14:textId="178890FE" w:rsidR="00DE678A" w:rsidRPr="00DE678A" w:rsidRDefault="007531FE" w:rsidP="00DE678A">
      <w:pPr>
        <w:spacing w:after="12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Tabela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procenu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nadzora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302"/>
        <w:gridCol w:w="1812"/>
        <w:gridCol w:w="1813"/>
        <w:gridCol w:w="1817"/>
      </w:tblGrid>
      <w:tr w:rsidR="00DE678A" w:rsidRPr="00DE678A" w14:paraId="72454F1D" w14:textId="77777777" w:rsidTr="00A643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CF5" w14:textId="77777777" w:rsidR="00DE678A" w:rsidRPr="00DE678A" w:rsidRDefault="00DE678A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276B1F" w14:textId="41BF424D" w:rsidR="00DE678A" w:rsidRPr="00DE678A" w:rsidRDefault="007531F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Broj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metoda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testiranja /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kalibracije</w:t>
            </w:r>
          </w:p>
        </w:tc>
      </w:tr>
      <w:tr w:rsidR="00DE678A" w:rsidRPr="00DE678A" w14:paraId="319EC881" w14:textId="77777777" w:rsidTr="00A643F7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F8F6FB" w14:textId="6F8E036D" w:rsidR="00DE678A" w:rsidRPr="00DE678A" w:rsidRDefault="007531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Broj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tehničkih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područja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pod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područja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27E74E" w14:textId="77777777" w:rsidR="00DE678A" w:rsidRPr="00DE678A" w:rsidRDefault="00DE678A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E1794B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1-25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729E8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26-50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0F8645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</w:tr>
      <w:tr w:rsidR="00DE678A" w:rsidRPr="00DE678A" w14:paraId="06BEDEB9" w14:textId="77777777" w:rsidTr="00A643F7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C29F" w14:textId="77777777" w:rsidR="00DE678A" w:rsidRPr="00DE678A" w:rsidRDefault="00DE678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D2BB9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2981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16C6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8CC2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2-3</w:t>
            </w:r>
          </w:p>
        </w:tc>
      </w:tr>
      <w:tr w:rsidR="00DE678A" w:rsidRPr="00DE678A" w14:paraId="3687D66A" w14:textId="77777777" w:rsidTr="00A643F7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166D" w14:textId="77777777" w:rsidR="00DE678A" w:rsidRPr="00DE678A" w:rsidRDefault="00DE678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304EC7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19CF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FB27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0904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2-3</w:t>
            </w:r>
          </w:p>
        </w:tc>
      </w:tr>
      <w:tr w:rsidR="00DE678A" w:rsidRPr="00DE678A" w14:paraId="450D4254" w14:textId="77777777" w:rsidTr="00A643F7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7302" w14:textId="77777777" w:rsidR="00DE678A" w:rsidRPr="00DE678A" w:rsidRDefault="00DE678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FDC6AD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C877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738A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6E25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3-4</w:t>
            </w:r>
          </w:p>
        </w:tc>
      </w:tr>
    </w:tbl>
    <w:p w14:paraId="28B675E5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7AD5A2D0" w14:textId="0533D2DA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Kada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laboratorija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testiranje /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kalibraciju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provodi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aktivnosti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usaglašenosti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izvan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laboratorija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npr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zorkovanje</w:t>
      </w:r>
      <w:proofErr w:type="spellEnd"/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testiranje,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kalibracija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dodatno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vreme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ovih aktivnosti dodaje se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predstavlјenih</w:t>
      </w:r>
      <w:proofErr w:type="spellEnd"/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tabelama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0D3F07C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0DBDA6AF" w14:textId="34A586FD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Uzimajući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obzir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faktore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navedene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klauzuli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DAK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utvrđuje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odstupanje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od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± 20%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od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predstavlјenih</w:t>
      </w:r>
      <w:proofErr w:type="spellEnd"/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tabelama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 </w:t>
      </w:r>
    </w:p>
    <w:p w14:paraId="3FB02EC3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64FEC89A" w14:textId="7DA0711A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Kada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laboratorija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ima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nekoliko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lokacija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koje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treba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oceniti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DAK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dalje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poveća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>va broj dana za ocenjivanje.</w:t>
      </w:r>
    </w:p>
    <w:p w14:paraId="1D62AD04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6D942999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680CC6CB" w14:textId="58421553" w:rsidR="00DE678A" w:rsidRPr="00F77B17" w:rsidRDefault="0038743A" w:rsidP="00F77B17">
      <w:pPr>
        <w:pStyle w:val="Heading2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17" w:name="_Toc32232249"/>
      <w:r>
        <w:rPr>
          <w:rFonts w:ascii="Times New Roman" w:hAnsi="Times New Roman"/>
          <w:b/>
          <w:color w:val="auto"/>
          <w:sz w:val="24"/>
          <w:szCs w:val="24"/>
        </w:rPr>
        <w:t xml:space="preserve">5.3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Broj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dana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ocenjivanja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za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inspekcijske organe</w:t>
      </w:r>
      <w:bookmarkEnd w:id="17"/>
    </w:p>
    <w:p w14:paraId="4D334F75" w14:textId="77777777" w:rsidR="00DE678A" w:rsidRPr="00DE678A" w:rsidRDefault="00DE678A" w:rsidP="00DE678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447C230E" w14:textId="78D8A0DB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ocenjivanja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inspekcijskih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organa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izračunava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osnovu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proizvoda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grupa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proizvoda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koje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treba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pregledati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definisani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>-03-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Aneksu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Aktivnosti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kriterijumi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6959AAF9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3000F8F6" w14:textId="3B330CF6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Tabele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3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daj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potreban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procenu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početnu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proširenje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delokruga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obnovu akreditacije i za procenu posmatranjem. </w:t>
      </w:r>
    </w:p>
    <w:p w14:paraId="305BBB6D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4A321811" w14:textId="13EE8C81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Kada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proširenje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delokruga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vrši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tokom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procene putem nadzora, najmanje 50% dana za ocenjivanje, obračunate shodno tabeli 3 za proširenje delokruga akreditacije, dodaju se broj dana ocenjivanja za posmatranje.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primer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kada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inspekcijsk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 organ traži proširenje delokruga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novi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proizvod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osnovnih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dodaje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osnovni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plus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0,5-1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novi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proizvod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za procenu posmatranjem. </w:t>
      </w:r>
    </w:p>
    <w:p w14:paraId="7ED22B59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5FD5FA1A" w14:textId="72C03B4C" w:rsidR="00DE678A" w:rsidRPr="00DE678A" w:rsidRDefault="007531FE" w:rsidP="00DE678A">
      <w:pPr>
        <w:spacing w:after="12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Tabela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3 -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2266"/>
        <w:gridCol w:w="2266"/>
      </w:tblGrid>
      <w:tr w:rsidR="00DE678A" w:rsidRPr="00DE678A" w14:paraId="6F561C0B" w14:textId="77777777" w:rsidTr="00A643F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8B28E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6B5C6" w14:textId="7B823B94" w:rsidR="00DE678A" w:rsidRPr="00DE678A" w:rsidRDefault="007531F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Početna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akreditacija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i</w:t>
            </w:r>
          </w:p>
          <w:p w14:paraId="72482BA4" w14:textId="70973820" w:rsidR="00DE678A" w:rsidRPr="00DE678A" w:rsidRDefault="007531F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Proširenje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delokruga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akreditacije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BF340E" w14:textId="17A94DA9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Procena putem posmatranja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CD222" w14:textId="3FC1721D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Produženje a</w:t>
            </w:r>
            <w:r w:rsidR="007531F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kreditacije</w:t>
            </w:r>
          </w:p>
        </w:tc>
      </w:tr>
      <w:tr w:rsidR="00DE678A" w:rsidRPr="00DE678A" w14:paraId="7E4760CC" w14:textId="77777777" w:rsidTr="00A643F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7ECCF4" w14:textId="6D796D89" w:rsidR="00DE678A" w:rsidRPr="00DE678A" w:rsidRDefault="007531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Broj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dana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ocenjivanje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8953" w14:textId="10F5F4C8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dana</w:t>
            </w:r>
          </w:p>
          <w:p w14:paraId="43662971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  <w:p w14:paraId="4150AA4B" w14:textId="04B1C085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0,5-1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za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svaku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grupu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pregledanih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proizvoda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DBB5" w14:textId="02C5192C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</w:p>
          <w:p w14:paraId="32768E24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  <w:p w14:paraId="0937B753" w14:textId="7804DCDF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0,5-1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za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svaku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grupu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pregledanih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proizvoda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A021" w14:textId="2636D60F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1-2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dana</w:t>
            </w:r>
          </w:p>
          <w:p w14:paraId="168BD594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  <w:p w14:paraId="0D8D3C1A" w14:textId="553BC8DC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0,5-1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za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svaku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grupu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pregledanih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proizvoda</w:t>
            </w:r>
          </w:p>
        </w:tc>
      </w:tr>
    </w:tbl>
    <w:p w14:paraId="13596A86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68584642" w14:textId="6C0E8C01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Kada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inspekcijsk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 organ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ima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nekoliko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kancelarijskih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lokacija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koje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treba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proceniti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osnovnih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procene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tj</w:t>
      </w:r>
      <w:proofErr w:type="spellEnd"/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 dana za početnu procenu ili produženja delokruga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akreditacije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DAK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može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povećati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broj osnovnih dana. </w:t>
      </w:r>
    </w:p>
    <w:p w14:paraId="1D8C38EE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2770CBF8" w14:textId="215E230C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Dani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svaku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grupu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proizvoda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iz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gornje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tabele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obično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provode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praćenje</w:t>
      </w:r>
      <w:bookmarkStart w:id="18" w:name="_GoBack"/>
      <w:bookmarkEnd w:id="18"/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inspekcijskih aktivnosti van kancelarije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inspekcijskog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organa. </w:t>
      </w:r>
    </w:p>
    <w:p w14:paraId="2D4DA3D7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1693322B" w14:textId="0E64211C" w:rsidR="00DE678A" w:rsidRPr="00DE678A" w:rsidRDefault="007531FE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Uzimajući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obzir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faktore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navedene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klauzuli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DAK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može utvrditi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odstupanje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od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± 20%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od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predstavlјenih</w:t>
      </w:r>
      <w:proofErr w:type="spellEnd"/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tabelama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 </w:t>
      </w:r>
    </w:p>
    <w:p w14:paraId="27F864E7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7F43BE1E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64E17AAF" w14:textId="01D4AC4B" w:rsidR="00DE678A" w:rsidRPr="00584CDD" w:rsidRDefault="0038743A" w:rsidP="00584CDD">
      <w:pPr>
        <w:pStyle w:val="Heading2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19" w:name="_Toc32232250"/>
      <w:r>
        <w:rPr>
          <w:rFonts w:ascii="Times New Roman" w:hAnsi="Times New Roman"/>
          <w:b/>
          <w:color w:val="auto"/>
          <w:sz w:val="24"/>
          <w:szCs w:val="24"/>
        </w:rPr>
        <w:t xml:space="preserve">5.4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Broj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dana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ocenjivanja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za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aktivnosti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pre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i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nakon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531FE">
        <w:rPr>
          <w:rFonts w:ascii="Times New Roman" w:hAnsi="Times New Roman"/>
          <w:b/>
          <w:color w:val="auto"/>
          <w:sz w:val="24"/>
          <w:szCs w:val="24"/>
        </w:rPr>
        <w:t>procene</w:t>
      </w:r>
      <w:bookmarkEnd w:id="19"/>
    </w:p>
    <w:p w14:paraId="392C7A18" w14:textId="77777777" w:rsidR="00DE678A" w:rsidRPr="00DE678A" w:rsidRDefault="00DE678A" w:rsidP="00DE678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7A54C17C" w14:textId="70BEAB85" w:rsidR="00D33053" w:rsidRPr="00A643F7" w:rsidRDefault="007531FE" w:rsidP="00DE678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Imajte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na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umu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da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će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ovaj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deo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politike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primenjivati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samo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ako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izmeni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Administrativno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uputstvo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MTI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br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.03 / 2018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o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utvrđivanju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tarife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akreditacije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DAK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će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na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svojoj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veb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stranici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dostaviti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informacije</w:t>
      </w:r>
      <w:r w:rsidR="00D330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danu početka primene.</w:t>
      </w:r>
    </w:p>
    <w:p w14:paraId="208F98ED" w14:textId="77777777" w:rsidR="00D33053" w:rsidRDefault="00D33053" w:rsidP="00DE678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3FEA7EB6" w14:textId="19EADC56" w:rsidR="00DE678A" w:rsidRPr="00DE678A" w:rsidRDefault="007531FE" w:rsidP="00DE678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aktivnosti članova ekipe procene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posle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gore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navedeni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utvrđeni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broj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evima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ocenjivanja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dodaju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sledeći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dani</w:t>
      </w:r>
      <w:r w:rsidR="00DE678A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220BD1F4" w14:textId="77777777" w:rsidR="00DE678A" w:rsidRPr="00DE678A" w:rsidRDefault="00DE678A" w:rsidP="00DE678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E678A" w:rsidRPr="00DE678A" w14:paraId="60677B3F" w14:textId="77777777" w:rsidTr="00DE678A"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23C35" w14:textId="219EBD9D" w:rsidR="00DE678A" w:rsidRPr="00DE678A" w:rsidRDefault="007531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</w:t>
            </w:r>
            <w:r w:rsidR="00DE67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inspekcije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C8A6E" w14:textId="0946EDD9" w:rsidR="00DE678A" w:rsidRPr="00DE678A" w:rsidRDefault="007531F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Broj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dana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ocenjivanja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aktivnosti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pre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nakon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procene</w:t>
            </w:r>
          </w:p>
        </w:tc>
      </w:tr>
      <w:tr w:rsidR="00DE678A" w:rsidRPr="00DE678A" w14:paraId="61D1E250" w14:textId="77777777" w:rsidTr="00DE67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FF31" w14:textId="77777777" w:rsidR="00DE678A" w:rsidRPr="00DE678A" w:rsidRDefault="00DE67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1DFCCE" w14:textId="02570B29" w:rsidR="00DE678A" w:rsidRPr="00DE678A" w:rsidRDefault="007531F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Vodeći</w:t>
            </w:r>
            <w:r w:rsidR="00DE67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procenjivač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782401" w14:textId="59C5AB47" w:rsidR="00DE678A" w:rsidRPr="00DE678A" w:rsidRDefault="007531F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Tehnički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procenjivač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0A2AE8" w14:textId="7777777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Procenjivač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1CD988" w14:textId="6EC228A0" w:rsidR="00DE678A" w:rsidRPr="00DE678A" w:rsidRDefault="007531F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Tehnički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stručnjak</w:t>
            </w:r>
          </w:p>
        </w:tc>
      </w:tr>
      <w:tr w:rsidR="00DE678A" w:rsidRPr="00DE678A" w14:paraId="2977A371" w14:textId="77777777" w:rsidTr="00DE678A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E401D6" w14:textId="18281E83" w:rsidR="00DE678A" w:rsidRPr="00DE678A" w:rsidRDefault="007531FE" w:rsidP="00DE678A">
            <w:pPr>
              <w:pStyle w:val="ListParagraph"/>
              <w:numPr>
                <w:ilvl w:val="0"/>
                <w:numId w:val="30"/>
              </w:numPr>
              <w:ind w:left="174" w:hanging="142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Početna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akreditacija</w:t>
            </w:r>
          </w:p>
          <w:p w14:paraId="0527425E" w14:textId="6676BD98" w:rsidR="00DE678A" w:rsidRPr="00DE678A" w:rsidRDefault="007531FE" w:rsidP="00DE678A">
            <w:pPr>
              <w:pStyle w:val="ListParagraph"/>
              <w:numPr>
                <w:ilvl w:val="0"/>
                <w:numId w:val="30"/>
              </w:numPr>
              <w:ind w:left="174" w:hanging="142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Proširenje</w:t>
            </w:r>
            <w:r w:rsidR="00DE67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delokruga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akreditacije</w:t>
            </w:r>
          </w:p>
          <w:p w14:paraId="4E29B889" w14:textId="20EF054C" w:rsidR="00DE678A" w:rsidRPr="00DE678A" w:rsidRDefault="00DE678A" w:rsidP="00DE678A">
            <w:pPr>
              <w:pStyle w:val="ListParagraph"/>
              <w:numPr>
                <w:ilvl w:val="0"/>
                <w:numId w:val="30"/>
              </w:numPr>
              <w:ind w:left="174" w:hanging="142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Produženje a</w:t>
            </w:r>
            <w:r w:rsidR="007531F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kreditacije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35F0" w14:textId="2ABF3BDE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</w:p>
          <w:p w14:paraId="5DB70DAE" w14:textId="7F44EF12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(6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sati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AFB7" w14:textId="12A1F8C8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0,5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</w:p>
          <w:p w14:paraId="2D25E1B7" w14:textId="655A840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(3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sati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E1FB" w14:textId="0CEDD790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0,33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</w:p>
          <w:p w14:paraId="36FA0C03" w14:textId="63A94992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(2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sati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A0EA" w14:textId="326E4A67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0,5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dana</w:t>
            </w:r>
          </w:p>
          <w:p w14:paraId="2048F1F9" w14:textId="55928EB8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(3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sati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DE678A" w:rsidRPr="00DE678A" w14:paraId="1D5451C1" w14:textId="77777777" w:rsidTr="00DE678A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C5F28D" w14:textId="77777777" w:rsidR="00DE678A" w:rsidRPr="00DE678A" w:rsidRDefault="00DE678A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Procenua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putem posmatranja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F685" w14:textId="62AC91CD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0,67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</w:p>
          <w:p w14:paraId="665C2A59" w14:textId="52159396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(4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sati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96F5" w14:textId="04BB885B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0,33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</w:p>
          <w:p w14:paraId="1B993429" w14:textId="41630E9F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(2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sati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C5CF" w14:textId="7CE3390B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0,17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</w:p>
          <w:p w14:paraId="511B89E3" w14:textId="5437F17F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(1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sati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B4B0" w14:textId="7402F433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0,33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</w:p>
          <w:p w14:paraId="2C719B01" w14:textId="6B964F0B" w:rsidR="00DE678A" w:rsidRPr="00DE678A" w:rsidRDefault="00DE678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(2 </w:t>
            </w:r>
            <w:r w:rsidR="007531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sati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46D10B2A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6EB20E82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3FE37EB2" w14:textId="0BE680F0" w:rsidR="00F56E8C" w:rsidRPr="002814FC" w:rsidRDefault="002814FC" w:rsidP="002814F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32232251"/>
      <w:r>
        <w:rPr>
          <w:rFonts w:ascii="Times New Roman" w:hAnsi="Times New Roman"/>
          <w:color w:val="auto"/>
          <w:sz w:val="24"/>
          <w:szCs w:val="24"/>
        </w:rPr>
        <w:t>6. ANEKSI</w:t>
      </w:r>
      <w:bookmarkEnd w:id="20"/>
    </w:p>
    <w:p w14:paraId="15805B0B" w14:textId="77777777" w:rsidR="004C6AB8" w:rsidRDefault="00C92185" w:rsidP="00C92185">
      <w:pPr>
        <w:tabs>
          <w:tab w:val="left" w:pos="7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1AA719F3" w14:textId="43431CDB" w:rsidR="00C92185" w:rsidRPr="00A643F7" w:rsidRDefault="007531FE" w:rsidP="00C92185">
      <w:pPr>
        <w:tabs>
          <w:tab w:val="left" w:pos="7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</w:t>
      </w:r>
      <w:r w:rsidR="004C6AB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primenlјivo</w:t>
      </w:r>
      <w:proofErr w:type="spellEnd"/>
    </w:p>
    <w:p w14:paraId="179B4989" w14:textId="3B39BA08" w:rsidR="00C92185" w:rsidRPr="002814FC" w:rsidRDefault="002814FC" w:rsidP="002814F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32232252"/>
      <w:r>
        <w:rPr>
          <w:rFonts w:ascii="Times New Roman" w:hAnsi="Times New Roman"/>
          <w:color w:val="auto"/>
          <w:sz w:val="24"/>
          <w:szCs w:val="24"/>
        </w:rPr>
        <w:t>7. ZAPISI</w:t>
      </w:r>
      <w:bookmarkEnd w:id="21"/>
    </w:p>
    <w:p w14:paraId="3B60C078" w14:textId="77777777" w:rsidR="004C6AB8" w:rsidRDefault="00C92185" w:rsidP="00A64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578E3F02" w14:textId="03665F3A" w:rsidR="004C6AB8" w:rsidRPr="00C41698" w:rsidRDefault="007531FE" w:rsidP="00A64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</w:t>
      </w:r>
      <w:r w:rsidR="004C6AB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primenlјivo</w:t>
      </w:r>
      <w:proofErr w:type="spellEnd"/>
    </w:p>
    <w:p w14:paraId="07142571" w14:textId="17299308" w:rsidR="00F56E8C" w:rsidRPr="002D5ECE" w:rsidRDefault="00C92185" w:rsidP="002D5ECE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32232253"/>
      <w:r>
        <w:rPr>
          <w:rFonts w:ascii="Times New Roman" w:hAnsi="Times New Roman"/>
          <w:color w:val="auto"/>
          <w:sz w:val="24"/>
          <w:szCs w:val="24"/>
        </w:rPr>
        <w:t xml:space="preserve">8. </w:t>
      </w:r>
      <w:r w:rsidR="007531FE">
        <w:rPr>
          <w:rFonts w:ascii="Times New Roman" w:hAnsi="Times New Roman"/>
          <w:color w:val="auto"/>
          <w:sz w:val="24"/>
          <w:szCs w:val="24"/>
        </w:rPr>
        <w:t>ISTORIJA</w:t>
      </w:r>
      <w:bookmarkEnd w:id="22"/>
    </w:p>
    <w:p w14:paraId="2AED213D" w14:textId="77777777" w:rsidR="00F56E8C" w:rsidRPr="00A643F7" w:rsidRDefault="00F56E8C" w:rsidP="00F56E8C">
      <w:pPr>
        <w:spacing w:after="0" w:line="240" w:lineRule="auto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738"/>
        <w:gridCol w:w="4765"/>
      </w:tblGrid>
      <w:tr w:rsidR="00594E2B" w:rsidRPr="00594E2B" w14:paraId="28168571" w14:textId="77777777" w:rsidTr="00841156">
        <w:tc>
          <w:tcPr>
            <w:tcW w:w="1103" w:type="pct"/>
            <w:vAlign w:val="center"/>
          </w:tcPr>
          <w:p w14:paraId="6620FC0C" w14:textId="7843D7B2" w:rsidR="00594E2B" w:rsidRPr="00594E2B" w:rsidRDefault="007531FE" w:rsidP="00594E2B">
            <w:pPr>
              <w:spacing w:after="0" w:line="240" w:lineRule="auto"/>
              <w:rPr>
                <w:rFonts w:ascii="Times New Roman" w:eastAsia="Times New Roman" w:hAnsi="Times New Roman" w:cs="Shrut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Datum</w:t>
            </w:r>
            <w:r w:rsidR="00594E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izdanja - datum</w:t>
            </w:r>
          </w:p>
        </w:tc>
        <w:tc>
          <w:tcPr>
            <w:tcW w:w="1422" w:type="pct"/>
            <w:vAlign w:val="center"/>
          </w:tcPr>
          <w:p w14:paraId="1A723EDD" w14:textId="67FA05C3" w:rsidR="00594E2B" w:rsidRPr="00594E2B" w:rsidRDefault="007531FE" w:rsidP="00594E2B">
            <w:pPr>
              <w:spacing w:after="0" w:line="240" w:lineRule="auto"/>
              <w:rPr>
                <w:rFonts w:ascii="Times New Roman" w:eastAsia="Times New Roman" w:hAnsi="Times New Roman" w:cs="Shrut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Pripremi</w:t>
            </w:r>
            <w:r w:rsidR="00594E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2475" w:type="pct"/>
            <w:vAlign w:val="center"/>
          </w:tcPr>
          <w:p w14:paraId="2BE26A58" w14:textId="26B4030D" w:rsidR="00594E2B" w:rsidRPr="00594E2B" w:rsidRDefault="007531FE" w:rsidP="00594E2B">
            <w:pPr>
              <w:spacing w:after="0" w:line="240" w:lineRule="auto"/>
              <w:rPr>
                <w:rFonts w:ascii="Times New Roman" w:eastAsia="Times New Roman" w:hAnsi="Times New Roman" w:cs="Shrut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Opis</w:t>
            </w:r>
            <w:r w:rsidR="00594E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primenjenih</w:t>
            </w:r>
            <w:r w:rsidR="00594E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promena</w:t>
            </w:r>
            <w:r w:rsidR="00594E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94E2B" w:rsidRPr="00594E2B" w14:paraId="02F55056" w14:textId="77777777" w:rsidTr="00841156">
        <w:tc>
          <w:tcPr>
            <w:tcW w:w="1103" w:type="pct"/>
            <w:vAlign w:val="center"/>
          </w:tcPr>
          <w:p w14:paraId="030A00DE" w14:textId="77777777" w:rsidR="00594E2B" w:rsidRPr="00E11619" w:rsidRDefault="00594E2B" w:rsidP="00594E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02.12.2015</w:t>
            </w:r>
          </w:p>
        </w:tc>
        <w:tc>
          <w:tcPr>
            <w:tcW w:w="1422" w:type="pct"/>
            <w:vAlign w:val="center"/>
          </w:tcPr>
          <w:p w14:paraId="31CFFCB2" w14:textId="6B42EADE" w:rsidR="00594E2B" w:rsidRPr="00594E2B" w:rsidRDefault="007531FE" w:rsidP="00594E2B">
            <w:pPr>
              <w:spacing w:after="0" w:line="240" w:lineRule="auto"/>
              <w:rPr>
                <w:rFonts w:ascii="Times New Roman" w:eastAsia="Times New Roman" w:hAnsi="Times New Roman" w:cs="Shrut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Ibush</w:t>
            </w:r>
            <w:proofErr w:type="spellEnd"/>
            <w:r w:rsidR="00594E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Luzha</w:t>
            </w:r>
            <w:proofErr w:type="spellEnd"/>
          </w:p>
        </w:tc>
        <w:tc>
          <w:tcPr>
            <w:tcW w:w="2475" w:type="pct"/>
            <w:vAlign w:val="center"/>
          </w:tcPr>
          <w:p w14:paraId="131E0D6A" w14:textId="5E6453D3" w:rsidR="00594E2B" w:rsidRPr="00594E2B" w:rsidRDefault="007531FE" w:rsidP="00594E2B">
            <w:pPr>
              <w:spacing w:after="0" w:line="240" w:lineRule="auto"/>
              <w:rPr>
                <w:rFonts w:ascii="Times New Roman" w:eastAsia="Times New Roman" w:hAnsi="Times New Roman" w:cs="Shrut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Novi</w:t>
            </w:r>
            <w:r w:rsidR="00594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dokument</w:t>
            </w:r>
            <w:r w:rsidR="00594E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94E2B" w:rsidRPr="00594E2B" w14:paraId="35A2CB5F" w14:textId="77777777" w:rsidTr="00841156">
        <w:tc>
          <w:tcPr>
            <w:tcW w:w="1103" w:type="pct"/>
            <w:vAlign w:val="center"/>
          </w:tcPr>
          <w:p w14:paraId="1817A8E5" w14:textId="77777777" w:rsidR="00594E2B" w:rsidRPr="004F069E" w:rsidRDefault="00594E2B" w:rsidP="00594E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11.03.2016</w:t>
            </w:r>
          </w:p>
        </w:tc>
        <w:tc>
          <w:tcPr>
            <w:tcW w:w="1422" w:type="pct"/>
            <w:vAlign w:val="center"/>
          </w:tcPr>
          <w:p w14:paraId="5EB70EC4" w14:textId="35221564" w:rsidR="00594E2B" w:rsidRPr="00594E2B" w:rsidRDefault="007531FE" w:rsidP="00594E2B">
            <w:pPr>
              <w:spacing w:after="0" w:line="240" w:lineRule="auto"/>
              <w:rPr>
                <w:rFonts w:ascii="Times New Roman" w:eastAsia="Times New Roman" w:hAnsi="Times New Roman" w:cs="Shrut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Ibush</w:t>
            </w:r>
            <w:proofErr w:type="spellEnd"/>
            <w:r w:rsidR="00594E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Luzha</w:t>
            </w:r>
            <w:proofErr w:type="spellEnd"/>
          </w:p>
        </w:tc>
        <w:tc>
          <w:tcPr>
            <w:tcW w:w="2475" w:type="pct"/>
            <w:vAlign w:val="center"/>
          </w:tcPr>
          <w:p w14:paraId="2FBE612D" w14:textId="77777777" w:rsidR="00594E2B" w:rsidRPr="00594E2B" w:rsidRDefault="00594E2B" w:rsidP="00594E2B">
            <w:pPr>
              <w:spacing w:after="0" w:line="240" w:lineRule="auto"/>
              <w:rPr>
                <w:rFonts w:ascii="Times New Roman" w:eastAsia="Times New Roman" w:hAnsi="Times New Roman" w:cs="Shrut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Član </w:t>
            </w:r>
            <w:r>
              <w:rPr>
                <w:rFonts w:asciiTheme="majorBidi" w:hAnsiTheme="majorBidi"/>
                <w:color w:val="000000" w:themeColor="text1"/>
                <w:sz w:val="24"/>
                <w:szCs w:val="24"/>
              </w:rPr>
              <w:t>3.1.1; 3.1.2; 3.1.3</w:t>
            </w:r>
          </w:p>
        </w:tc>
      </w:tr>
      <w:tr w:rsidR="00594E2B" w:rsidRPr="00594E2B" w14:paraId="47BC758C" w14:textId="77777777" w:rsidTr="00841156">
        <w:tc>
          <w:tcPr>
            <w:tcW w:w="1103" w:type="pct"/>
            <w:vAlign w:val="center"/>
          </w:tcPr>
          <w:p w14:paraId="4160D50D" w14:textId="2BF39B69" w:rsidR="00594E2B" w:rsidRPr="00594E2B" w:rsidRDefault="00D4666C" w:rsidP="00594E2B">
            <w:pPr>
              <w:spacing w:after="0" w:line="240" w:lineRule="auto"/>
              <w:rPr>
                <w:rFonts w:ascii="Times New Roman" w:eastAsia="Times New Roman" w:hAnsi="Times New Roman" w:cs="Shruti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15.11.2019</w:t>
            </w:r>
          </w:p>
        </w:tc>
        <w:tc>
          <w:tcPr>
            <w:tcW w:w="1422" w:type="pct"/>
            <w:vAlign w:val="center"/>
          </w:tcPr>
          <w:p w14:paraId="3ADA2FE3" w14:textId="58171AF1" w:rsidR="00594E2B" w:rsidRPr="00594E2B" w:rsidRDefault="007531FE" w:rsidP="00594E2B">
            <w:pPr>
              <w:spacing w:after="0" w:line="240" w:lineRule="auto"/>
              <w:rPr>
                <w:rFonts w:ascii="Times New Roman" w:eastAsia="Times New Roman" w:hAnsi="Times New Roman" w:cs="Shruti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Valmira</w:t>
            </w:r>
            <w:proofErr w:type="spellEnd"/>
            <w:r w:rsidR="0021437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Sejdiu</w:t>
            </w:r>
            <w:proofErr w:type="spellEnd"/>
          </w:p>
        </w:tc>
        <w:tc>
          <w:tcPr>
            <w:tcW w:w="2475" w:type="pct"/>
            <w:vAlign w:val="center"/>
          </w:tcPr>
          <w:p w14:paraId="5F6BDAF9" w14:textId="76523E9D" w:rsidR="00594E2B" w:rsidRPr="00594E2B" w:rsidRDefault="007531FE" w:rsidP="00594E2B">
            <w:pPr>
              <w:spacing w:after="0" w:line="240" w:lineRule="auto"/>
              <w:rPr>
                <w:rFonts w:ascii="Times New Roman" w:eastAsia="Times New Roman" w:hAnsi="Times New Roman" w:cs="Shruti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Potpuna</w:t>
            </w:r>
            <w:r w:rsidR="00594E2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revizija</w:t>
            </w:r>
            <w:r w:rsidR="00594E2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za</w:t>
            </w:r>
            <w:r w:rsidR="00594E2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usklađivanje</w:t>
            </w:r>
            <w:r w:rsidR="00594E2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sa</w:t>
            </w:r>
            <w:r w:rsidR="00594E2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ISO</w:t>
            </w:r>
            <w:r w:rsidR="00594E2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IEC</w:t>
            </w:r>
            <w:r w:rsidR="00594E2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17011: 2017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</w:t>
            </w:r>
            <w:r w:rsidR="00594E2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DAK</w:t>
            </w:r>
            <w:r w:rsidR="00594E2B">
              <w:rPr>
                <w:rFonts w:ascii="Times New Roman" w:hAnsi="Times New Roman"/>
                <w:color w:val="0070C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PM</w:t>
            </w:r>
            <w:r w:rsidR="00594E2B">
              <w:rPr>
                <w:rFonts w:ascii="Times New Roman" w:hAnsi="Times New Roman"/>
                <w:color w:val="0070C0"/>
                <w:sz w:val="24"/>
                <w:szCs w:val="24"/>
              </w:rPr>
              <w:t>-01</w:t>
            </w:r>
          </w:p>
        </w:tc>
      </w:tr>
    </w:tbl>
    <w:p w14:paraId="23F655B3" w14:textId="77777777" w:rsidR="00F56E8C" w:rsidRPr="00F56E8C" w:rsidRDefault="00F56E8C" w:rsidP="00F56E8C">
      <w:pPr>
        <w:rPr>
          <w:lang w:val="en-GB"/>
        </w:rPr>
      </w:pPr>
    </w:p>
    <w:p w14:paraId="3C4285B3" w14:textId="77777777" w:rsidR="00DE678A" w:rsidRPr="00DE678A" w:rsidRDefault="00DE678A" w:rsidP="00DE67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5F0FFD6A" w14:textId="77777777" w:rsidR="00DE678A" w:rsidRPr="00DE678A" w:rsidRDefault="00DE678A" w:rsidP="00DE678A">
      <w:pPr>
        <w:rPr>
          <w:lang w:val="en-GB"/>
        </w:rPr>
      </w:pPr>
    </w:p>
    <w:p w14:paraId="0379C01A" w14:textId="77777777" w:rsidR="00A24952" w:rsidRPr="00DE678A" w:rsidRDefault="005D6D40" w:rsidP="00DE678A">
      <w:pPr>
        <w:pStyle w:val="Heading1"/>
        <w:tabs>
          <w:tab w:val="left" w:pos="567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sectPr w:rsidR="00A24952" w:rsidRPr="00DE678A" w:rsidSect="00D33053">
      <w:footerReference w:type="default" r:id="rId9"/>
      <w:pgSz w:w="11906" w:h="16838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CFD12" w14:textId="77777777" w:rsidR="00845686" w:rsidRDefault="00845686" w:rsidP="00905279">
      <w:pPr>
        <w:spacing w:after="0" w:line="240" w:lineRule="auto"/>
      </w:pPr>
      <w:r>
        <w:separator/>
      </w:r>
    </w:p>
  </w:endnote>
  <w:endnote w:type="continuationSeparator" w:id="0">
    <w:p w14:paraId="77C87A5F" w14:textId="77777777" w:rsidR="00845686" w:rsidRDefault="00845686" w:rsidP="009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3"/>
      <w:gridCol w:w="4814"/>
    </w:tblGrid>
    <w:tr w:rsidR="00230980" w:rsidRPr="00D06170" w14:paraId="2D1446C8" w14:textId="77777777" w:rsidTr="00DA561B">
      <w:tc>
        <w:tcPr>
          <w:tcW w:w="4926" w:type="dxa"/>
        </w:tcPr>
        <w:p w14:paraId="01C1E501" w14:textId="77777777" w:rsidR="007531FE" w:rsidRDefault="007531FE" w:rsidP="00773F70">
          <w:pPr>
            <w:rPr>
              <w:rFonts w:asciiTheme="majorBidi" w:hAnsiTheme="majorBidi"/>
              <w:b/>
              <w:bCs/>
              <w:sz w:val="18"/>
              <w:szCs w:val="18"/>
            </w:rPr>
          </w:pPr>
          <w:r>
            <w:rPr>
              <w:rFonts w:asciiTheme="majorBidi" w:hAnsiTheme="majorBidi"/>
              <w:b/>
              <w:bCs/>
              <w:sz w:val="18"/>
              <w:szCs w:val="18"/>
            </w:rPr>
            <w:t>DAK-PO-02- Politika ocenjivanja</w:t>
          </w:r>
        </w:p>
        <w:p w14:paraId="36E907F9" w14:textId="77777777" w:rsidR="007531FE" w:rsidRDefault="007531FE" w:rsidP="00773F70">
          <w:pPr>
            <w:rPr>
              <w:rFonts w:asciiTheme="majorBidi" w:hAnsiTheme="majorBidi"/>
              <w:b/>
              <w:bCs/>
              <w:sz w:val="18"/>
              <w:szCs w:val="18"/>
            </w:rPr>
          </w:pPr>
          <w:r>
            <w:rPr>
              <w:rFonts w:asciiTheme="majorBidi" w:hAnsiTheme="majorBidi"/>
              <w:b/>
              <w:bCs/>
              <w:sz w:val="18"/>
              <w:szCs w:val="18"/>
            </w:rPr>
            <w:t xml:space="preserve"> Izdanje 3 dana 15.11.2019</w:t>
          </w:r>
        </w:p>
        <w:p w14:paraId="29FE0DD7" w14:textId="067AFA82" w:rsidR="00230980" w:rsidRPr="000C2300" w:rsidRDefault="00230980" w:rsidP="00773F70">
          <w:pPr>
            <w:rPr>
              <w:rFonts w:asciiTheme="majorBidi" w:hAnsiTheme="majorBidi" w:cstheme="majorBidi"/>
              <w:sz w:val="18"/>
              <w:szCs w:val="18"/>
              <w:lang w:val="en-GB"/>
            </w:rPr>
          </w:pPr>
        </w:p>
      </w:tc>
      <w:tc>
        <w:tcPr>
          <w:tcW w:w="4927" w:type="dxa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1265BD50" w14:textId="10B11A16" w:rsidR="00230980" w:rsidRPr="00A643F7" w:rsidRDefault="007531FE" w:rsidP="00D06170">
              <w:pPr>
                <w:jc w:val="right"/>
                <w:rPr>
                  <w:rFonts w:ascii="Times New Roman" w:hAnsi="Times New Roman" w:cs="Times New Roman"/>
                  <w:sz w:val="16"/>
                  <w:szCs w:val="16"/>
                </w:rPr>
              </w:pPr>
              <w:r>
                <w:rPr>
                  <w:rFonts w:ascii="Times New Roman" w:hAnsi="Times New Roman" w:cs="Times New Roman"/>
                  <w:sz w:val="16"/>
                  <w:szCs w:val="16"/>
                </w:rPr>
                <w:t>Stranica 1 od</w:t>
              </w:r>
              <w:r w:rsidR="00230980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r w:rsidR="00230980" w:rsidRPr="00A643F7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="00230980" w:rsidRPr="000C2300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230980" w:rsidRPr="00A643F7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C41698">
                <w:rPr>
                  <w:rFonts w:ascii="Times New Roman" w:hAnsi="Times New Roman" w:cs="Times New Roman"/>
                  <w:sz w:val="16"/>
                  <w:szCs w:val="16"/>
                </w:rPr>
                <w:t>7</w:t>
              </w:r>
              <w:r w:rsidR="00230980" w:rsidRPr="00A643F7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</w:p>
          </w:sdtContent>
        </w:sdt>
        <w:p w14:paraId="641C4F1F" w14:textId="77777777" w:rsidR="00230980" w:rsidRPr="00D06170" w:rsidRDefault="00230980">
          <w:pPr>
            <w:pStyle w:val="Footer"/>
            <w:rPr>
              <w:rFonts w:ascii="Times New Roman" w:hAnsi="Times New Roman" w:cs="Times New Roman"/>
              <w:sz w:val="16"/>
              <w:szCs w:val="16"/>
              <w:lang w:val="en-GB"/>
            </w:rPr>
          </w:pPr>
        </w:p>
      </w:tc>
    </w:tr>
  </w:tbl>
  <w:p w14:paraId="7DEC3D6B" w14:textId="77777777" w:rsidR="00230980" w:rsidRDefault="00230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B80EE" w14:textId="77777777" w:rsidR="00845686" w:rsidRDefault="00845686" w:rsidP="00905279">
      <w:pPr>
        <w:spacing w:after="0" w:line="240" w:lineRule="auto"/>
      </w:pPr>
      <w:r>
        <w:separator/>
      </w:r>
    </w:p>
  </w:footnote>
  <w:footnote w:type="continuationSeparator" w:id="0">
    <w:p w14:paraId="0B51E025" w14:textId="77777777" w:rsidR="00845686" w:rsidRDefault="00845686" w:rsidP="009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A9B"/>
    <w:multiLevelType w:val="multilevel"/>
    <w:tmpl w:val="DC9267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905FDB"/>
    <w:multiLevelType w:val="hybridMultilevel"/>
    <w:tmpl w:val="360A69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74433"/>
    <w:multiLevelType w:val="hybridMultilevel"/>
    <w:tmpl w:val="28CECB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4B07"/>
    <w:multiLevelType w:val="multilevel"/>
    <w:tmpl w:val="FF8059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3F3C29"/>
    <w:multiLevelType w:val="hybridMultilevel"/>
    <w:tmpl w:val="74BCF3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2E11"/>
    <w:multiLevelType w:val="hybridMultilevel"/>
    <w:tmpl w:val="BCEAF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5A08"/>
    <w:multiLevelType w:val="multilevel"/>
    <w:tmpl w:val="43463A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C51158"/>
    <w:multiLevelType w:val="hybridMultilevel"/>
    <w:tmpl w:val="108E614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364E9"/>
    <w:multiLevelType w:val="hybridMultilevel"/>
    <w:tmpl w:val="F30A581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5FA7"/>
    <w:multiLevelType w:val="hybridMultilevel"/>
    <w:tmpl w:val="D69CDC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744D2"/>
    <w:multiLevelType w:val="hybridMultilevel"/>
    <w:tmpl w:val="D040BF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E76DB"/>
    <w:multiLevelType w:val="hybridMultilevel"/>
    <w:tmpl w:val="F8F2FE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17E49"/>
    <w:multiLevelType w:val="hybridMultilevel"/>
    <w:tmpl w:val="2764A2EC"/>
    <w:lvl w:ilvl="0" w:tplc="EB1062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91552"/>
    <w:multiLevelType w:val="hybridMultilevel"/>
    <w:tmpl w:val="3DCC0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A6E8A"/>
    <w:multiLevelType w:val="hybridMultilevel"/>
    <w:tmpl w:val="5428DB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F7BE0"/>
    <w:multiLevelType w:val="multilevel"/>
    <w:tmpl w:val="137E488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DA3E92"/>
    <w:multiLevelType w:val="hybridMultilevel"/>
    <w:tmpl w:val="5D26FF2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A7B34"/>
    <w:multiLevelType w:val="multilevel"/>
    <w:tmpl w:val="986276F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811022"/>
    <w:multiLevelType w:val="hybridMultilevel"/>
    <w:tmpl w:val="5A54A4DC"/>
    <w:lvl w:ilvl="0" w:tplc="CFB84F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82C32"/>
    <w:multiLevelType w:val="multilevel"/>
    <w:tmpl w:val="74F8DE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16782D"/>
    <w:multiLevelType w:val="hybridMultilevel"/>
    <w:tmpl w:val="A2785400"/>
    <w:lvl w:ilvl="0" w:tplc="BF7A2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C48DF"/>
    <w:multiLevelType w:val="multilevel"/>
    <w:tmpl w:val="B176A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B22F3B"/>
    <w:multiLevelType w:val="hybridMultilevel"/>
    <w:tmpl w:val="63E603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047AE"/>
    <w:multiLevelType w:val="hybridMultilevel"/>
    <w:tmpl w:val="3760E308"/>
    <w:lvl w:ilvl="0" w:tplc="CFB84F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B1E5D"/>
    <w:multiLevelType w:val="hybridMultilevel"/>
    <w:tmpl w:val="239098FC"/>
    <w:lvl w:ilvl="0" w:tplc="9F609816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62D38"/>
    <w:multiLevelType w:val="hybridMultilevel"/>
    <w:tmpl w:val="DEBE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91302"/>
    <w:multiLevelType w:val="hybridMultilevel"/>
    <w:tmpl w:val="D85CDAC2"/>
    <w:lvl w:ilvl="0" w:tplc="7D1076B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C1309"/>
    <w:multiLevelType w:val="multilevel"/>
    <w:tmpl w:val="B58088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CC64D1"/>
    <w:multiLevelType w:val="hybridMultilevel"/>
    <w:tmpl w:val="F4169C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34533"/>
    <w:multiLevelType w:val="hybridMultilevel"/>
    <w:tmpl w:val="06540CDA"/>
    <w:lvl w:ilvl="0" w:tplc="98629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0355B"/>
    <w:multiLevelType w:val="hybridMultilevel"/>
    <w:tmpl w:val="21D8D026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1" w15:restartNumberingAfterBreak="0">
    <w:nsid w:val="6F65502E"/>
    <w:multiLevelType w:val="hybridMultilevel"/>
    <w:tmpl w:val="5E16C8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0219F"/>
    <w:multiLevelType w:val="hybridMultilevel"/>
    <w:tmpl w:val="4B6A708A"/>
    <w:lvl w:ilvl="0" w:tplc="1736E3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D5D8D"/>
    <w:multiLevelType w:val="hybridMultilevel"/>
    <w:tmpl w:val="76FE480E"/>
    <w:lvl w:ilvl="0" w:tplc="CFB84F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E5FCA"/>
    <w:multiLevelType w:val="hybridMultilevel"/>
    <w:tmpl w:val="0B0C1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"/>
  </w:num>
  <w:num w:numId="4">
    <w:abstractNumId w:val="0"/>
  </w:num>
  <w:num w:numId="5">
    <w:abstractNumId w:val="27"/>
  </w:num>
  <w:num w:numId="6">
    <w:abstractNumId w:val="32"/>
  </w:num>
  <w:num w:numId="7">
    <w:abstractNumId w:val="9"/>
  </w:num>
  <w:num w:numId="8">
    <w:abstractNumId w:val="5"/>
  </w:num>
  <w:num w:numId="9">
    <w:abstractNumId w:val="34"/>
  </w:num>
  <w:num w:numId="10">
    <w:abstractNumId w:val="24"/>
  </w:num>
  <w:num w:numId="11">
    <w:abstractNumId w:val="15"/>
  </w:num>
  <w:num w:numId="12">
    <w:abstractNumId w:val="2"/>
  </w:num>
  <w:num w:numId="13">
    <w:abstractNumId w:val="26"/>
  </w:num>
  <w:num w:numId="14">
    <w:abstractNumId w:val="14"/>
  </w:num>
  <w:num w:numId="15">
    <w:abstractNumId w:val="12"/>
  </w:num>
  <w:num w:numId="16">
    <w:abstractNumId w:val="23"/>
  </w:num>
  <w:num w:numId="17">
    <w:abstractNumId w:val="13"/>
  </w:num>
  <w:num w:numId="18">
    <w:abstractNumId w:val="3"/>
  </w:num>
  <w:num w:numId="19">
    <w:abstractNumId w:val="6"/>
  </w:num>
  <w:num w:numId="20">
    <w:abstractNumId w:val="19"/>
  </w:num>
  <w:num w:numId="21">
    <w:abstractNumId w:val="28"/>
  </w:num>
  <w:num w:numId="22">
    <w:abstractNumId w:val="21"/>
  </w:num>
  <w:num w:numId="23">
    <w:abstractNumId w:val="33"/>
  </w:num>
  <w:num w:numId="24">
    <w:abstractNumId w:val="22"/>
  </w:num>
  <w:num w:numId="25">
    <w:abstractNumId w:val="17"/>
  </w:num>
  <w:num w:numId="26">
    <w:abstractNumId w:val="18"/>
  </w:num>
  <w:num w:numId="27">
    <w:abstractNumId w:val="29"/>
  </w:num>
  <w:num w:numId="28">
    <w:abstractNumId w:val="11"/>
  </w:num>
  <w:num w:numId="29">
    <w:abstractNumId w:val="10"/>
  </w:num>
  <w:num w:numId="30">
    <w:abstractNumId w:val="31"/>
  </w:num>
  <w:num w:numId="31">
    <w:abstractNumId w:val="20"/>
  </w:num>
  <w:num w:numId="32">
    <w:abstractNumId w:val="30"/>
  </w:num>
  <w:num w:numId="33">
    <w:abstractNumId w:val="16"/>
  </w:num>
  <w:num w:numId="34">
    <w:abstractNumId w:val="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2D"/>
    <w:rsid w:val="000047AC"/>
    <w:rsid w:val="00004CF5"/>
    <w:rsid w:val="000103E4"/>
    <w:rsid w:val="00013FF1"/>
    <w:rsid w:val="00020328"/>
    <w:rsid w:val="00025DA4"/>
    <w:rsid w:val="0003312C"/>
    <w:rsid w:val="00044578"/>
    <w:rsid w:val="0004566B"/>
    <w:rsid w:val="00051C42"/>
    <w:rsid w:val="00056B28"/>
    <w:rsid w:val="000579B2"/>
    <w:rsid w:val="00060C76"/>
    <w:rsid w:val="00064D44"/>
    <w:rsid w:val="00066E77"/>
    <w:rsid w:val="0007536C"/>
    <w:rsid w:val="000A39CB"/>
    <w:rsid w:val="000C1BF9"/>
    <w:rsid w:val="000C2300"/>
    <w:rsid w:val="001004AE"/>
    <w:rsid w:val="0010064D"/>
    <w:rsid w:val="00112334"/>
    <w:rsid w:val="0011413D"/>
    <w:rsid w:val="00123D88"/>
    <w:rsid w:val="00125862"/>
    <w:rsid w:val="00127C6F"/>
    <w:rsid w:val="00130AE0"/>
    <w:rsid w:val="001423EB"/>
    <w:rsid w:val="00163A50"/>
    <w:rsid w:val="00167ED7"/>
    <w:rsid w:val="00187ED7"/>
    <w:rsid w:val="001921E7"/>
    <w:rsid w:val="001A3B3B"/>
    <w:rsid w:val="001A4F6F"/>
    <w:rsid w:val="001B33EE"/>
    <w:rsid w:val="001B438F"/>
    <w:rsid w:val="001C1E11"/>
    <w:rsid w:val="001C38F9"/>
    <w:rsid w:val="001C3F9C"/>
    <w:rsid w:val="001E45A7"/>
    <w:rsid w:val="001E5B56"/>
    <w:rsid w:val="001E5EB7"/>
    <w:rsid w:val="001F71BE"/>
    <w:rsid w:val="002037FC"/>
    <w:rsid w:val="00207FD5"/>
    <w:rsid w:val="0021196A"/>
    <w:rsid w:val="0021437D"/>
    <w:rsid w:val="00220A9C"/>
    <w:rsid w:val="00220C5E"/>
    <w:rsid w:val="00230980"/>
    <w:rsid w:val="002325CB"/>
    <w:rsid w:val="00241934"/>
    <w:rsid w:val="00251AAA"/>
    <w:rsid w:val="00252132"/>
    <w:rsid w:val="00253F71"/>
    <w:rsid w:val="002545CA"/>
    <w:rsid w:val="002661F5"/>
    <w:rsid w:val="00266CE5"/>
    <w:rsid w:val="00271D89"/>
    <w:rsid w:val="00275AE0"/>
    <w:rsid w:val="00275BDB"/>
    <w:rsid w:val="002814FC"/>
    <w:rsid w:val="002A0338"/>
    <w:rsid w:val="002A2379"/>
    <w:rsid w:val="002A3C79"/>
    <w:rsid w:val="002C3C15"/>
    <w:rsid w:val="002D298C"/>
    <w:rsid w:val="002D3382"/>
    <w:rsid w:val="002D5ECE"/>
    <w:rsid w:val="002D7249"/>
    <w:rsid w:val="002E6B30"/>
    <w:rsid w:val="002F2C8C"/>
    <w:rsid w:val="002F3DCC"/>
    <w:rsid w:val="00300CD6"/>
    <w:rsid w:val="00301511"/>
    <w:rsid w:val="00301AAD"/>
    <w:rsid w:val="003034C0"/>
    <w:rsid w:val="003258B8"/>
    <w:rsid w:val="00330AF9"/>
    <w:rsid w:val="003354A0"/>
    <w:rsid w:val="00337AE9"/>
    <w:rsid w:val="00345BF5"/>
    <w:rsid w:val="0034775F"/>
    <w:rsid w:val="003506E5"/>
    <w:rsid w:val="003649C9"/>
    <w:rsid w:val="0036700F"/>
    <w:rsid w:val="0037140F"/>
    <w:rsid w:val="003741B3"/>
    <w:rsid w:val="00382AF6"/>
    <w:rsid w:val="0038743A"/>
    <w:rsid w:val="00390B68"/>
    <w:rsid w:val="00392519"/>
    <w:rsid w:val="003A132B"/>
    <w:rsid w:val="003A14D1"/>
    <w:rsid w:val="003A7D61"/>
    <w:rsid w:val="003B629C"/>
    <w:rsid w:val="003C7C38"/>
    <w:rsid w:val="003D0335"/>
    <w:rsid w:val="003D22CF"/>
    <w:rsid w:val="003E5466"/>
    <w:rsid w:val="003F10F8"/>
    <w:rsid w:val="003F4D59"/>
    <w:rsid w:val="003F7271"/>
    <w:rsid w:val="003F731F"/>
    <w:rsid w:val="00403023"/>
    <w:rsid w:val="004071E3"/>
    <w:rsid w:val="00411985"/>
    <w:rsid w:val="004200BA"/>
    <w:rsid w:val="00423182"/>
    <w:rsid w:val="0042457B"/>
    <w:rsid w:val="0042550B"/>
    <w:rsid w:val="00427B62"/>
    <w:rsid w:val="004440CC"/>
    <w:rsid w:val="004462D6"/>
    <w:rsid w:val="0044655A"/>
    <w:rsid w:val="004466E2"/>
    <w:rsid w:val="004526D5"/>
    <w:rsid w:val="004545B3"/>
    <w:rsid w:val="004705D2"/>
    <w:rsid w:val="004724BC"/>
    <w:rsid w:val="00476441"/>
    <w:rsid w:val="004923F4"/>
    <w:rsid w:val="004973D5"/>
    <w:rsid w:val="004B398B"/>
    <w:rsid w:val="004B65EB"/>
    <w:rsid w:val="004B666D"/>
    <w:rsid w:val="004C405E"/>
    <w:rsid w:val="004C6AB8"/>
    <w:rsid w:val="004C72AD"/>
    <w:rsid w:val="004C78DA"/>
    <w:rsid w:val="004D2524"/>
    <w:rsid w:val="004D26A7"/>
    <w:rsid w:val="004D62C8"/>
    <w:rsid w:val="004D6C90"/>
    <w:rsid w:val="004F069E"/>
    <w:rsid w:val="004F2CE6"/>
    <w:rsid w:val="004F635C"/>
    <w:rsid w:val="004F6D98"/>
    <w:rsid w:val="00503396"/>
    <w:rsid w:val="005172FF"/>
    <w:rsid w:val="00517A05"/>
    <w:rsid w:val="0053112B"/>
    <w:rsid w:val="005416AD"/>
    <w:rsid w:val="00542C00"/>
    <w:rsid w:val="00545012"/>
    <w:rsid w:val="00545AAE"/>
    <w:rsid w:val="0055412C"/>
    <w:rsid w:val="00554386"/>
    <w:rsid w:val="00555A65"/>
    <w:rsid w:val="00556C9A"/>
    <w:rsid w:val="00562EC4"/>
    <w:rsid w:val="00580F6A"/>
    <w:rsid w:val="00584CDD"/>
    <w:rsid w:val="0058643A"/>
    <w:rsid w:val="0059298C"/>
    <w:rsid w:val="00593B36"/>
    <w:rsid w:val="00594E2B"/>
    <w:rsid w:val="005A7506"/>
    <w:rsid w:val="005B1D57"/>
    <w:rsid w:val="005B234E"/>
    <w:rsid w:val="005B6BAC"/>
    <w:rsid w:val="005D15BC"/>
    <w:rsid w:val="005D6D40"/>
    <w:rsid w:val="005E4E2D"/>
    <w:rsid w:val="005E5A65"/>
    <w:rsid w:val="005F28AE"/>
    <w:rsid w:val="00601046"/>
    <w:rsid w:val="0061546F"/>
    <w:rsid w:val="00622E19"/>
    <w:rsid w:val="0064213B"/>
    <w:rsid w:val="00647BC0"/>
    <w:rsid w:val="00666CA8"/>
    <w:rsid w:val="00682E35"/>
    <w:rsid w:val="00685C2D"/>
    <w:rsid w:val="0069468A"/>
    <w:rsid w:val="006A050D"/>
    <w:rsid w:val="006B5954"/>
    <w:rsid w:val="006B5A41"/>
    <w:rsid w:val="006B7839"/>
    <w:rsid w:val="006C5822"/>
    <w:rsid w:val="006D5AA2"/>
    <w:rsid w:val="006D6B67"/>
    <w:rsid w:val="006E25B0"/>
    <w:rsid w:val="006E72F4"/>
    <w:rsid w:val="00701C04"/>
    <w:rsid w:val="007335C0"/>
    <w:rsid w:val="00734034"/>
    <w:rsid w:val="00740306"/>
    <w:rsid w:val="00741402"/>
    <w:rsid w:val="00750943"/>
    <w:rsid w:val="007531FE"/>
    <w:rsid w:val="00771279"/>
    <w:rsid w:val="00773E6A"/>
    <w:rsid w:val="00773F70"/>
    <w:rsid w:val="007854EC"/>
    <w:rsid w:val="00793118"/>
    <w:rsid w:val="00793423"/>
    <w:rsid w:val="007A0D3B"/>
    <w:rsid w:val="007A4BAF"/>
    <w:rsid w:val="007B4878"/>
    <w:rsid w:val="007C24D0"/>
    <w:rsid w:val="007C3E33"/>
    <w:rsid w:val="007C761B"/>
    <w:rsid w:val="007E1521"/>
    <w:rsid w:val="007E5744"/>
    <w:rsid w:val="007F193A"/>
    <w:rsid w:val="007F70C3"/>
    <w:rsid w:val="00806311"/>
    <w:rsid w:val="00806F6C"/>
    <w:rsid w:val="0082356B"/>
    <w:rsid w:val="00825918"/>
    <w:rsid w:val="00836E14"/>
    <w:rsid w:val="00844668"/>
    <w:rsid w:val="00845686"/>
    <w:rsid w:val="008535D2"/>
    <w:rsid w:val="008577EF"/>
    <w:rsid w:val="00863298"/>
    <w:rsid w:val="0086410B"/>
    <w:rsid w:val="00895832"/>
    <w:rsid w:val="00897746"/>
    <w:rsid w:val="008A06F4"/>
    <w:rsid w:val="008A31AA"/>
    <w:rsid w:val="008A5A53"/>
    <w:rsid w:val="008B56CF"/>
    <w:rsid w:val="008C0587"/>
    <w:rsid w:val="008C671E"/>
    <w:rsid w:val="008D735D"/>
    <w:rsid w:val="008E3232"/>
    <w:rsid w:val="008F00AF"/>
    <w:rsid w:val="008F16E4"/>
    <w:rsid w:val="008F2B2F"/>
    <w:rsid w:val="008F2E31"/>
    <w:rsid w:val="008F4251"/>
    <w:rsid w:val="008F433E"/>
    <w:rsid w:val="00903595"/>
    <w:rsid w:val="00904B29"/>
    <w:rsid w:val="00905279"/>
    <w:rsid w:val="00913139"/>
    <w:rsid w:val="00914008"/>
    <w:rsid w:val="00916E84"/>
    <w:rsid w:val="009370E4"/>
    <w:rsid w:val="009376CA"/>
    <w:rsid w:val="00942559"/>
    <w:rsid w:val="009468D4"/>
    <w:rsid w:val="00951BF2"/>
    <w:rsid w:val="009539CA"/>
    <w:rsid w:val="00962832"/>
    <w:rsid w:val="00962E40"/>
    <w:rsid w:val="00966859"/>
    <w:rsid w:val="00967B25"/>
    <w:rsid w:val="0097374C"/>
    <w:rsid w:val="00973C9D"/>
    <w:rsid w:val="00977A06"/>
    <w:rsid w:val="00982F06"/>
    <w:rsid w:val="00986F57"/>
    <w:rsid w:val="009979C8"/>
    <w:rsid w:val="009A7533"/>
    <w:rsid w:val="009B1326"/>
    <w:rsid w:val="009B691C"/>
    <w:rsid w:val="009C5BC7"/>
    <w:rsid w:val="009C7628"/>
    <w:rsid w:val="009C7876"/>
    <w:rsid w:val="009F0E0D"/>
    <w:rsid w:val="009F44A3"/>
    <w:rsid w:val="009F73C7"/>
    <w:rsid w:val="009F7F25"/>
    <w:rsid w:val="00A0373E"/>
    <w:rsid w:val="00A10934"/>
    <w:rsid w:val="00A17374"/>
    <w:rsid w:val="00A24952"/>
    <w:rsid w:val="00A254CD"/>
    <w:rsid w:val="00A3737D"/>
    <w:rsid w:val="00A469D8"/>
    <w:rsid w:val="00A56025"/>
    <w:rsid w:val="00A5727A"/>
    <w:rsid w:val="00A643F7"/>
    <w:rsid w:val="00A7494B"/>
    <w:rsid w:val="00A81F72"/>
    <w:rsid w:val="00A9140A"/>
    <w:rsid w:val="00A92FE2"/>
    <w:rsid w:val="00A94598"/>
    <w:rsid w:val="00A96FC0"/>
    <w:rsid w:val="00A97A40"/>
    <w:rsid w:val="00AA419F"/>
    <w:rsid w:val="00AA758E"/>
    <w:rsid w:val="00AB0E1B"/>
    <w:rsid w:val="00AB125D"/>
    <w:rsid w:val="00AB3F8F"/>
    <w:rsid w:val="00AB7101"/>
    <w:rsid w:val="00AC0CC3"/>
    <w:rsid w:val="00AF0D72"/>
    <w:rsid w:val="00AF19CB"/>
    <w:rsid w:val="00AF4690"/>
    <w:rsid w:val="00AF6E99"/>
    <w:rsid w:val="00B02EF4"/>
    <w:rsid w:val="00B063AC"/>
    <w:rsid w:val="00B35918"/>
    <w:rsid w:val="00B46C71"/>
    <w:rsid w:val="00B4796F"/>
    <w:rsid w:val="00B503C4"/>
    <w:rsid w:val="00B62E10"/>
    <w:rsid w:val="00B939CA"/>
    <w:rsid w:val="00BA1345"/>
    <w:rsid w:val="00BA3977"/>
    <w:rsid w:val="00BA5A33"/>
    <w:rsid w:val="00BA7CA0"/>
    <w:rsid w:val="00BB1204"/>
    <w:rsid w:val="00BB196E"/>
    <w:rsid w:val="00BB794E"/>
    <w:rsid w:val="00BC17E8"/>
    <w:rsid w:val="00BE575A"/>
    <w:rsid w:val="00BE5B82"/>
    <w:rsid w:val="00BF2E9B"/>
    <w:rsid w:val="00BF567D"/>
    <w:rsid w:val="00BF7A60"/>
    <w:rsid w:val="00C04A53"/>
    <w:rsid w:val="00C05590"/>
    <w:rsid w:val="00C10A3F"/>
    <w:rsid w:val="00C25DFE"/>
    <w:rsid w:val="00C30EDB"/>
    <w:rsid w:val="00C31E74"/>
    <w:rsid w:val="00C36653"/>
    <w:rsid w:val="00C41698"/>
    <w:rsid w:val="00C547EE"/>
    <w:rsid w:val="00C555C7"/>
    <w:rsid w:val="00C6082D"/>
    <w:rsid w:val="00C67C42"/>
    <w:rsid w:val="00C92185"/>
    <w:rsid w:val="00C9530B"/>
    <w:rsid w:val="00CA66C5"/>
    <w:rsid w:val="00CA7BDA"/>
    <w:rsid w:val="00CB1332"/>
    <w:rsid w:val="00CB1828"/>
    <w:rsid w:val="00CC3658"/>
    <w:rsid w:val="00CD5BCE"/>
    <w:rsid w:val="00CD77A0"/>
    <w:rsid w:val="00CE7926"/>
    <w:rsid w:val="00CF2C2F"/>
    <w:rsid w:val="00CF45BF"/>
    <w:rsid w:val="00D0482D"/>
    <w:rsid w:val="00D06170"/>
    <w:rsid w:val="00D3126F"/>
    <w:rsid w:val="00D33053"/>
    <w:rsid w:val="00D37C6F"/>
    <w:rsid w:val="00D40D5A"/>
    <w:rsid w:val="00D4666C"/>
    <w:rsid w:val="00D57EF6"/>
    <w:rsid w:val="00D61C07"/>
    <w:rsid w:val="00D65089"/>
    <w:rsid w:val="00D65DB7"/>
    <w:rsid w:val="00D65DFA"/>
    <w:rsid w:val="00D756D7"/>
    <w:rsid w:val="00D77C47"/>
    <w:rsid w:val="00D80735"/>
    <w:rsid w:val="00D80E95"/>
    <w:rsid w:val="00DA561B"/>
    <w:rsid w:val="00DC0418"/>
    <w:rsid w:val="00DC1044"/>
    <w:rsid w:val="00DC3C37"/>
    <w:rsid w:val="00DE1CF9"/>
    <w:rsid w:val="00DE56C0"/>
    <w:rsid w:val="00DE5B31"/>
    <w:rsid w:val="00DE678A"/>
    <w:rsid w:val="00DF3748"/>
    <w:rsid w:val="00DF3C52"/>
    <w:rsid w:val="00DF4ACC"/>
    <w:rsid w:val="00E05AE2"/>
    <w:rsid w:val="00E10C48"/>
    <w:rsid w:val="00E11619"/>
    <w:rsid w:val="00E2221C"/>
    <w:rsid w:val="00E24573"/>
    <w:rsid w:val="00E253B1"/>
    <w:rsid w:val="00E26C87"/>
    <w:rsid w:val="00E40CF7"/>
    <w:rsid w:val="00E44D59"/>
    <w:rsid w:val="00E44D62"/>
    <w:rsid w:val="00E458F3"/>
    <w:rsid w:val="00E6742E"/>
    <w:rsid w:val="00E80898"/>
    <w:rsid w:val="00E90011"/>
    <w:rsid w:val="00EA362B"/>
    <w:rsid w:val="00EA74F7"/>
    <w:rsid w:val="00EB2FC2"/>
    <w:rsid w:val="00EC1179"/>
    <w:rsid w:val="00ED0887"/>
    <w:rsid w:val="00ED4542"/>
    <w:rsid w:val="00ED584F"/>
    <w:rsid w:val="00ED7CF7"/>
    <w:rsid w:val="00EE7492"/>
    <w:rsid w:val="00EE7AE1"/>
    <w:rsid w:val="00EF0C98"/>
    <w:rsid w:val="00F00CAA"/>
    <w:rsid w:val="00F01362"/>
    <w:rsid w:val="00F0196E"/>
    <w:rsid w:val="00F26FCF"/>
    <w:rsid w:val="00F31AA9"/>
    <w:rsid w:val="00F34224"/>
    <w:rsid w:val="00F36C08"/>
    <w:rsid w:val="00F40FBC"/>
    <w:rsid w:val="00F46A3F"/>
    <w:rsid w:val="00F569FF"/>
    <w:rsid w:val="00F56E8C"/>
    <w:rsid w:val="00F62BF4"/>
    <w:rsid w:val="00F63B41"/>
    <w:rsid w:val="00F716F8"/>
    <w:rsid w:val="00F7323A"/>
    <w:rsid w:val="00F75698"/>
    <w:rsid w:val="00F7587E"/>
    <w:rsid w:val="00F77B17"/>
    <w:rsid w:val="00F871E5"/>
    <w:rsid w:val="00F87317"/>
    <w:rsid w:val="00F87561"/>
    <w:rsid w:val="00F915CB"/>
    <w:rsid w:val="00F97BD8"/>
    <w:rsid w:val="00FA56BD"/>
    <w:rsid w:val="00FA65B6"/>
    <w:rsid w:val="00FB5440"/>
    <w:rsid w:val="00FC2BAF"/>
    <w:rsid w:val="00FD1D2F"/>
    <w:rsid w:val="00FD3AF8"/>
    <w:rsid w:val="00FE49A3"/>
    <w:rsid w:val="00FF66F4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F84D"/>
  <w15:docId w15:val="{8C4FD19B-2D50-44B6-AD13-132DF2D4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FA"/>
  </w:style>
  <w:style w:type="paragraph" w:styleId="Heading1">
    <w:name w:val="heading 1"/>
    <w:basedOn w:val="Normal"/>
    <w:next w:val="Normal"/>
    <w:link w:val="Heading1Char"/>
    <w:uiPriority w:val="9"/>
    <w:qFormat/>
    <w:rsid w:val="00DA56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2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49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79"/>
  </w:style>
  <w:style w:type="paragraph" w:styleId="Footer">
    <w:name w:val="footer"/>
    <w:basedOn w:val="Normal"/>
    <w:link w:val="Foot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79"/>
  </w:style>
  <w:style w:type="paragraph" w:styleId="BalloonText">
    <w:name w:val="Balloon Text"/>
    <w:basedOn w:val="Normal"/>
    <w:link w:val="BalloonTextChar"/>
    <w:uiPriority w:val="99"/>
    <w:semiHidden/>
    <w:unhideWhenUsed/>
    <w:rsid w:val="0090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5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s">
    <w:name w:val="hps"/>
    <w:rsid w:val="001B438F"/>
  </w:style>
  <w:style w:type="paragraph" w:customStyle="1" w:styleId="Default">
    <w:name w:val="Default"/>
    <w:rsid w:val="001B438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21E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F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724BC"/>
    <w:pPr>
      <w:tabs>
        <w:tab w:val="left" w:pos="426"/>
        <w:tab w:val="right" w:leader="dot" w:pos="9627"/>
      </w:tabs>
    </w:pPr>
  </w:style>
  <w:style w:type="character" w:styleId="Strong">
    <w:name w:val="Strong"/>
    <w:qFormat/>
    <w:rsid w:val="00D0482D"/>
    <w:rPr>
      <w:b/>
      <w:bCs/>
    </w:rPr>
  </w:style>
  <w:style w:type="paragraph" w:customStyle="1" w:styleId="BodytekstUK">
    <w:name w:val="BodytekstUK"/>
    <w:basedOn w:val="Normal"/>
    <w:link w:val="BodytekstUKChar"/>
    <w:rsid w:val="00D0482D"/>
    <w:pPr>
      <w:spacing w:after="120" w:line="30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BodytekstUKChar">
    <w:name w:val="BodytekstUK Char"/>
    <w:link w:val="BodytekstUK"/>
    <w:rsid w:val="00D0482D"/>
    <w:rPr>
      <w:rFonts w:ascii="Arial" w:eastAsia="Times New Roman" w:hAnsi="Arial" w:cs="Times New Roman"/>
      <w:sz w:val="20"/>
      <w:szCs w:val="20"/>
      <w:lang w:val="sr-Latn-RS" w:eastAsia="nl-NL"/>
    </w:rPr>
  </w:style>
  <w:style w:type="paragraph" w:styleId="NoSpacing">
    <w:name w:val="No Spacing"/>
    <w:uiPriority w:val="1"/>
    <w:qFormat/>
    <w:rsid w:val="007C3E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3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05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172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5E5A6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F000D8-32CF-4764-B0B6-E734BCBB1506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B146F-EE8A-460E-955B-7C60ACC3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1647</Words>
  <Characters>9393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Banush Neziri</dc:creator>
  <cp:keywords/>
  <dc:description/>
  <cp:lastModifiedBy>Adem Kollari</cp:lastModifiedBy>
  <cp:revision>20</cp:revision>
  <cp:lastPrinted>2019-10-15T12:44:00Z</cp:lastPrinted>
  <dcterms:created xsi:type="dcterms:W3CDTF">2019-11-17T20:34:00Z</dcterms:created>
  <dcterms:modified xsi:type="dcterms:W3CDTF">2020-02-10T12:06:00Z</dcterms:modified>
</cp:coreProperties>
</file>