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279" w:rsidRPr="00E63412" w:rsidRDefault="009D78AC">
      <w:pPr>
        <w:rPr>
          <w:rFonts w:ascii="Times New Roman" w:hAnsi="Times New Roman" w:cs="Times New Roman"/>
          <w:color w:val="000000" w:themeColor="text1"/>
          <w:lang w:val="fr-FR"/>
        </w:rPr>
      </w:pPr>
      <w:r w:rsidRPr="009D78AC">
        <w:rPr>
          <w:rFonts w:ascii="Times New Roman" w:hAnsi="Times New Roman" w:cs="Times New Roman"/>
          <w:noProof/>
          <w:color w:val="000000" w:themeColor="text1"/>
          <w:lang w:eastAsia="sq-AL"/>
        </w:rPr>
        <w:drawing>
          <wp:inline distT="0" distB="0" distL="0" distR="0">
            <wp:extent cx="1152525" cy="591185"/>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591185"/>
                    </a:xfrm>
                    <a:prstGeom prst="rect">
                      <a:avLst/>
                    </a:prstGeom>
                    <a:noFill/>
                  </pic:spPr>
                </pic:pic>
              </a:graphicData>
            </a:graphic>
          </wp:inline>
        </w:drawing>
      </w:r>
    </w:p>
    <w:p w:rsidR="00905279" w:rsidRPr="00E63412" w:rsidRDefault="00905279">
      <w:pPr>
        <w:rPr>
          <w:rFonts w:ascii="Times New Roman" w:hAnsi="Times New Roman" w:cs="Times New Roman"/>
          <w:color w:val="000000" w:themeColor="text1"/>
          <w:lang w:val="fr-FR"/>
        </w:rPr>
      </w:pPr>
    </w:p>
    <w:p w:rsidR="00905279" w:rsidRPr="00E63412" w:rsidRDefault="00905279">
      <w:pPr>
        <w:rPr>
          <w:rFonts w:ascii="Times New Roman" w:hAnsi="Times New Roman" w:cs="Times New Roman"/>
          <w:color w:val="000000" w:themeColor="text1"/>
          <w:lang w:val="fr-FR"/>
        </w:rPr>
      </w:pPr>
    </w:p>
    <w:p w:rsidR="00905279" w:rsidRDefault="00905279" w:rsidP="00905279">
      <w:pPr>
        <w:jc w:val="center"/>
        <w:rPr>
          <w:rFonts w:ascii="Times New Roman" w:hAnsi="Times New Roman" w:cs="Times New Roman"/>
          <w:color w:val="000000" w:themeColor="text1"/>
          <w:lang w:val="fr-FR"/>
        </w:rPr>
      </w:pPr>
    </w:p>
    <w:p w:rsidR="00646822" w:rsidRDefault="00646822" w:rsidP="00905279">
      <w:pPr>
        <w:jc w:val="center"/>
        <w:rPr>
          <w:rFonts w:ascii="Times New Roman" w:hAnsi="Times New Roman" w:cs="Times New Roman"/>
          <w:color w:val="000000" w:themeColor="text1"/>
          <w:lang w:val="fr-FR"/>
        </w:rPr>
      </w:pPr>
    </w:p>
    <w:p w:rsidR="00646822" w:rsidRPr="00E63412" w:rsidRDefault="00646822" w:rsidP="00905279">
      <w:pPr>
        <w:jc w:val="center"/>
        <w:rPr>
          <w:rFonts w:ascii="Times New Roman" w:hAnsi="Times New Roman" w:cs="Times New Roman"/>
          <w:color w:val="000000" w:themeColor="text1"/>
          <w:lang w:val="fr-FR"/>
        </w:rPr>
      </w:pPr>
    </w:p>
    <w:p w:rsidR="00905279" w:rsidRDefault="00905279" w:rsidP="00DD7207">
      <w:pPr>
        <w:spacing w:line="360" w:lineRule="auto"/>
        <w:jc w:val="center"/>
        <w:rPr>
          <w:rFonts w:ascii="Times New Roman" w:hAnsi="Times New Roman" w:cs="Times New Roman"/>
          <w:color w:val="000000" w:themeColor="text1"/>
          <w:lang w:val="fr-FR"/>
        </w:rPr>
      </w:pPr>
    </w:p>
    <w:p w:rsidR="00E05FB5" w:rsidRDefault="00E05FB5" w:rsidP="00DD7207">
      <w:pPr>
        <w:spacing w:line="360" w:lineRule="auto"/>
        <w:jc w:val="center"/>
        <w:rPr>
          <w:rFonts w:ascii="Times New Roman" w:hAnsi="Times New Roman" w:cs="Times New Roman"/>
          <w:color w:val="000000" w:themeColor="text1"/>
          <w:lang w:val="fr-FR"/>
        </w:rPr>
      </w:pPr>
    </w:p>
    <w:p w:rsidR="00E05FB5" w:rsidRPr="00E63412" w:rsidRDefault="00E05FB5" w:rsidP="00DD7207">
      <w:pPr>
        <w:spacing w:line="360" w:lineRule="auto"/>
        <w:jc w:val="center"/>
        <w:rPr>
          <w:rFonts w:ascii="Times New Roman" w:hAnsi="Times New Roman" w:cs="Times New Roman"/>
          <w:color w:val="000000" w:themeColor="text1"/>
          <w:lang w:val="fr-FR"/>
        </w:rPr>
      </w:pPr>
    </w:p>
    <w:p w:rsidR="00BB6265" w:rsidRPr="00E63412" w:rsidRDefault="00241934" w:rsidP="00F06FD1">
      <w:pPr>
        <w:spacing w:after="0" w:line="240" w:lineRule="auto"/>
        <w:jc w:val="center"/>
        <w:rPr>
          <w:rFonts w:ascii="Times New Roman" w:hAnsi="Times New Roman" w:cs="Times New Roman"/>
          <w:b/>
          <w:color w:val="000000" w:themeColor="text1"/>
          <w:sz w:val="32"/>
          <w:szCs w:val="32"/>
          <w:lang w:val="en-US"/>
        </w:rPr>
      </w:pPr>
      <w:r w:rsidRPr="00E63412">
        <w:rPr>
          <w:rFonts w:ascii="Times New Roman" w:hAnsi="Times New Roman" w:cs="Times New Roman"/>
          <w:b/>
          <w:color w:val="000000" w:themeColor="text1"/>
          <w:sz w:val="32"/>
          <w:szCs w:val="32"/>
          <w:lang w:val="en-US"/>
        </w:rPr>
        <w:t>POLICY</w:t>
      </w:r>
      <w:r w:rsidR="002571C6" w:rsidRPr="00E63412">
        <w:rPr>
          <w:rFonts w:ascii="Times New Roman" w:hAnsi="Times New Roman" w:cs="Times New Roman"/>
          <w:b/>
          <w:color w:val="000000" w:themeColor="text1"/>
          <w:sz w:val="32"/>
          <w:szCs w:val="32"/>
          <w:lang w:val="en-US"/>
        </w:rPr>
        <w:t xml:space="preserve"> O</w:t>
      </w:r>
      <w:r w:rsidR="00BB6265" w:rsidRPr="00E63412">
        <w:rPr>
          <w:rFonts w:ascii="Times New Roman" w:hAnsi="Times New Roman" w:cs="Times New Roman"/>
          <w:b/>
          <w:color w:val="000000" w:themeColor="text1"/>
          <w:sz w:val="32"/>
          <w:szCs w:val="32"/>
          <w:lang w:val="en-US"/>
        </w:rPr>
        <w:t xml:space="preserve">N TREACEABILITY </w:t>
      </w:r>
    </w:p>
    <w:p w:rsidR="00DA561B" w:rsidRPr="00E63412" w:rsidRDefault="00BB6265" w:rsidP="00E05FB5">
      <w:pPr>
        <w:spacing w:line="360" w:lineRule="auto"/>
        <w:jc w:val="center"/>
        <w:rPr>
          <w:rFonts w:ascii="Times New Roman" w:hAnsi="Times New Roman" w:cs="Times New Roman"/>
          <w:b/>
          <w:color w:val="000000" w:themeColor="text1"/>
          <w:sz w:val="32"/>
          <w:szCs w:val="32"/>
          <w:lang w:val="en-US"/>
        </w:rPr>
      </w:pPr>
      <w:r w:rsidRPr="00E63412">
        <w:rPr>
          <w:rFonts w:ascii="Times New Roman" w:hAnsi="Times New Roman" w:cs="Times New Roman"/>
          <w:b/>
          <w:color w:val="000000" w:themeColor="text1"/>
          <w:sz w:val="32"/>
          <w:szCs w:val="32"/>
          <w:lang w:val="en-US"/>
        </w:rPr>
        <w:t>OF MEASUREMENTS</w:t>
      </w:r>
      <w:r w:rsidR="00241934" w:rsidRPr="00E63412">
        <w:rPr>
          <w:rFonts w:ascii="Times New Roman" w:hAnsi="Times New Roman" w:cs="Times New Roman"/>
          <w:b/>
          <w:color w:val="000000" w:themeColor="text1"/>
          <w:sz w:val="32"/>
          <w:szCs w:val="32"/>
          <w:lang w:val="en-US"/>
        </w:rPr>
        <w:t xml:space="preserve"> </w:t>
      </w:r>
    </w:p>
    <w:p w:rsidR="00905279" w:rsidRPr="00E63412" w:rsidRDefault="008E135C" w:rsidP="00E05FB5">
      <w:pPr>
        <w:spacing w:line="360" w:lineRule="auto"/>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DAK-PO-0</w:t>
      </w:r>
      <w:r w:rsidR="00BB6265" w:rsidRPr="00E63412">
        <w:rPr>
          <w:rFonts w:ascii="Times New Roman" w:hAnsi="Times New Roman" w:cs="Times New Roman"/>
          <w:b/>
          <w:color w:val="000000" w:themeColor="text1"/>
          <w:sz w:val="28"/>
          <w:szCs w:val="28"/>
          <w:lang w:val="en-US"/>
        </w:rPr>
        <w:t>6</w:t>
      </w:r>
    </w:p>
    <w:p w:rsidR="00905279" w:rsidRPr="00E63412" w:rsidRDefault="00905279" w:rsidP="00905279">
      <w:pPr>
        <w:jc w:val="center"/>
        <w:rPr>
          <w:rFonts w:ascii="Times New Roman" w:hAnsi="Times New Roman" w:cs="Times New Roman"/>
          <w:color w:val="000000" w:themeColor="text1"/>
          <w:sz w:val="24"/>
          <w:szCs w:val="24"/>
          <w:lang w:val="en-US"/>
        </w:rPr>
      </w:pPr>
    </w:p>
    <w:p w:rsidR="00905279" w:rsidRPr="00E63412" w:rsidRDefault="00905279" w:rsidP="00905279">
      <w:pPr>
        <w:jc w:val="center"/>
        <w:rPr>
          <w:rFonts w:ascii="Times New Roman" w:hAnsi="Times New Roman" w:cs="Times New Roman"/>
          <w:color w:val="000000" w:themeColor="text1"/>
          <w:sz w:val="24"/>
          <w:szCs w:val="24"/>
          <w:lang w:val="en-US"/>
        </w:rPr>
      </w:pPr>
    </w:p>
    <w:p w:rsidR="00905279" w:rsidRPr="00E63412" w:rsidRDefault="00905279" w:rsidP="00905279">
      <w:pPr>
        <w:jc w:val="center"/>
        <w:rPr>
          <w:rFonts w:ascii="Times New Roman" w:hAnsi="Times New Roman" w:cs="Times New Roman"/>
          <w:color w:val="000000" w:themeColor="text1"/>
          <w:sz w:val="24"/>
          <w:szCs w:val="24"/>
          <w:lang w:val="en-US"/>
        </w:rPr>
      </w:pPr>
    </w:p>
    <w:p w:rsidR="00905279" w:rsidRPr="00E63412" w:rsidRDefault="00905279" w:rsidP="00905279">
      <w:pPr>
        <w:jc w:val="center"/>
        <w:rPr>
          <w:rFonts w:ascii="Times New Roman" w:hAnsi="Times New Roman" w:cs="Times New Roman"/>
          <w:color w:val="000000" w:themeColor="text1"/>
          <w:sz w:val="24"/>
          <w:szCs w:val="24"/>
          <w:lang w:val="en-US"/>
        </w:rPr>
      </w:pPr>
    </w:p>
    <w:p w:rsidR="00E05FB5" w:rsidRDefault="00E05FB5" w:rsidP="00E05FB5">
      <w:pPr>
        <w:spacing w:after="0" w:line="240" w:lineRule="auto"/>
        <w:rPr>
          <w:rFonts w:ascii="Times New Roman" w:eastAsia="Times New Roman" w:hAnsi="Times New Roman"/>
          <w:bCs/>
          <w:sz w:val="24"/>
          <w:szCs w:val="24"/>
          <w:lang w:bidi="gu-IN"/>
        </w:rPr>
      </w:pPr>
    </w:p>
    <w:p w:rsidR="00BD6AB7" w:rsidRDefault="00BD6AB7" w:rsidP="00E05FB5">
      <w:pPr>
        <w:spacing w:after="0" w:line="240" w:lineRule="auto"/>
        <w:rPr>
          <w:rFonts w:ascii="Times New Roman" w:eastAsia="Times New Roman" w:hAnsi="Times New Roman"/>
          <w:bCs/>
          <w:sz w:val="24"/>
          <w:szCs w:val="24"/>
          <w:lang w:bidi="gu-IN"/>
        </w:rPr>
      </w:pPr>
    </w:p>
    <w:p w:rsidR="00BD6AB7" w:rsidRDefault="00BD6AB7" w:rsidP="00E05FB5">
      <w:pPr>
        <w:spacing w:after="0" w:line="240" w:lineRule="auto"/>
        <w:rPr>
          <w:rFonts w:ascii="Times New Roman" w:eastAsia="Times New Roman" w:hAnsi="Times New Roman"/>
          <w:bCs/>
          <w:sz w:val="24"/>
          <w:szCs w:val="24"/>
          <w:lang w:bidi="gu-IN"/>
        </w:rPr>
      </w:pPr>
    </w:p>
    <w:p w:rsidR="00E05FB5" w:rsidRPr="004F7CF0" w:rsidRDefault="00E05FB5" w:rsidP="00E05FB5">
      <w:pPr>
        <w:spacing w:after="0" w:line="240" w:lineRule="auto"/>
        <w:rPr>
          <w:rFonts w:ascii="Times New Roman" w:eastAsia="Times New Roman" w:hAnsi="Times New Roman"/>
          <w:bCs/>
          <w:sz w:val="24"/>
          <w:szCs w:val="24"/>
          <w:lang w:bidi="gu-IN"/>
        </w:rPr>
      </w:pPr>
    </w:p>
    <w:p w:rsidR="00E05FB5" w:rsidRPr="004F7CF0" w:rsidRDefault="00E05FB5" w:rsidP="00E05FB5">
      <w:pPr>
        <w:spacing w:after="0" w:line="240" w:lineRule="auto"/>
        <w:jc w:val="center"/>
        <w:rPr>
          <w:rFonts w:ascii="Times New Roman" w:eastAsia="Times New Roman" w:hAnsi="Times New Roman"/>
          <w:bCs/>
          <w:sz w:val="24"/>
          <w:szCs w:val="24"/>
          <w:lang w:bidi="gu-IN"/>
        </w:rPr>
      </w:pPr>
    </w:p>
    <w:p w:rsidR="00E05FB5" w:rsidRPr="005B661B" w:rsidRDefault="00E05FB5" w:rsidP="00E05FB5">
      <w:pPr>
        <w:spacing w:after="0" w:line="360" w:lineRule="auto"/>
        <w:ind w:left="5041"/>
        <w:jc w:val="center"/>
        <w:rPr>
          <w:rFonts w:ascii="Times New Roman" w:hAnsi="Times New Roman"/>
          <w:sz w:val="24"/>
          <w:szCs w:val="24"/>
          <w:lang w:val="en-GB"/>
        </w:rPr>
      </w:pPr>
      <w:r w:rsidRPr="005B661B">
        <w:rPr>
          <w:rFonts w:ascii="Times New Roman" w:hAnsi="Times New Roman"/>
          <w:sz w:val="24"/>
          <w:szCs w:val="24"/>
          <w:lang w:val="en-GB"/>
        </w:rPr>
        <w:t>APPROVED BY,</w:t>
      </w:r>
    </w:p>
    <w:p w:rsidR="00E05FB5" w:rsidRPr="005B661B" w:rsidRDefault="00E05FB5" w:rsidP="00E05FB5">
      <w:pPr>
        <w:spacing w:after="0" w:line="360" w:lineRule="auto"/>
        <w:ind w:left="5041"/>
        <w:jc w:val="center"/>
        <w:rPr>
          <w:rFonts w:ascii="Times New Roman" w:hAnsi="Times New Roman"/>
          <w:b/>
          <w:sz w:val="24"/>
          <w:szCs w:val="24"/>
          <w:lang w:val="en-GB"/>
        </w:rPr>
      </w:pPr>
      <w:r w:rsidRPr="005B661B">
        <w:rPr>
          <w:rFonts w:ascii="Times New Roman" w:hAnsi="Times New Roman"/>
          <w:b/>
          <w:sz w:val="24"/>
          <w:szCs w:val="24"/>
          <w:lang w:val="en-GB"/>
        </w:rPr>
        <w:t>GENERAL DIRECTOR</w:t>
      </w:r>
    </w:p>
    <w:p w:rsidR="00E05FB5" w:rsidRPr="00905279" w:rsidRDefault="00E05FB5" w:rsidP="00E05FB5">
      <w:pPr>
        <w:spacing w:after="0" w:line="360" w:lineRule="auto"/>
        <w:ind w:left="5041"/>
        <w:jc w:val="center"/>
        <w:rPr>
          <w:rFonts w:ascii="Times New Roman" w:hAnsi="Times New Roman"/>
          <w:b/>
          <w:sz w:val="24"/>
          <w:szCs w:val="24"/>
          <w:lang w:val="en-GB"/>
        </w:rPr>
      </w:pPr>
      <w:r w:rsidRPr="005B661B">
        <w:rPr>
          <w:rFonts w:ascii="Times New Roman" w:hAnsi="Times New Roman"/>
          <w:b/>
          <w:sz w:val="24"/>
          <w:szCs w:val="24"/>
          <w:lang w:val="en-GB"/>
        </w:rPr>
        <w:t>Gentiana ISLAMAJ</w:t>
      </w:r>
    </w:p>
    <w:p w:rsidR="00E05FB5" w:rsidRDefault="00E05FB5" w:rsidP="00E05FB5">
      <w:pPr>
        <w:spacing w:after="0" w:line="240" w:lineRule="auto"/>
        <w:rPr>
          <w:rFonts w:ascii="Times New Roman" w:hAnsi="Times New Roman"/>
          <w:b/>
          <w:bCs/>
          <w:lang w:val="en-GB"/>
        </w:rPr>
      </w:pPr>
    </w:p>
    <w:p w:rsidR="00E05FB5" w:rsidRDefault="00E05FB5" w:rsidP="00E05FB5">
      <w:pPr>
        <w:spacing w:after="0" w:line="240" w:lineRule="auto"/>
        <w:rPr>
          <w:rFonts w:ascii="Times New Roman" w:hAnsi="Times New Roman"/>
          <w:b/>
          <w:bCs/>
          <w:lang w:val="en-GB"/>
        </w:rPr>
      </w:pPr>
    </w:p>
    <w:p w:rsidR="00982F06" w:rsidRPr="008E135C" w:rsidRDefault="00982F06" w:rsidP="008E135C">
      <w:pPr>
        <w:spacing w:after="0"/>
        <w:rPr>
          <w:rFonts w:ascii="Times New Roman" w:hAnsi="Times New Roman" w:cs="Times New Roman"/>
          <w:color w:val="000000" w:themeColor="text1"/>
          <w:lang w:val="en-US"/>
        </w:rPr>
      </w:pPr>
    </w:p>
    <w:p w:rsidR="008E135C" w:rsidRPr="008E135C" w:rsidRDefault="008E135C" w:rsidP="008E135C">
      <w:pPr>
        <w:spacing w:after="0"/>
        <w:jc w:val="both"/>
        <w:rPr>
          <w:rStyle w:val="Strong"/>
          <w:rFonts w:ascii="Times New Roman" w:hAnsi="Times New Roman" w:cs="Times New Roman"/>
        </w:rPr>
      </w:pPr>
    </w:p>
    <w:p w:rsidR="00E05FB5" w:rsidRPr="005341B9" w:rsidRDefault="005341B9" w:rsidP="005341B9">
      <w:pPr>
        <w:spacing w:after="0" w:line="240" w:lineRule="auto"/>
        <w:jc w:val="center"/>
        <w:rPr>
          <w:rFonts w:ascii="Times New Roman" w:eastAsia="Times New Roman" w:hAnsi="Times New Roman"/>
          <w:bCs/>
          <w:sz w:val="24"/>
          <w:szCs w:val="24"/>
          <w:lang w:val="en-US" w:bidi="gu-IN"/>
        </w:rPr>
      </w:pPr>
      <w:r>
        <w:rPr>
          <w:rStyle w:val="Strong"/>
          <w:rFonts w:ascii="Times New Roman" w:hAnsi="Times New Roman" w:cs="Times New Roman"/>
        </w:rPr>
        <w:t xml:space="preserve">                </w:t>
      </w:r>
    </w:p>
    <w:sdt>
      <w:sdtPr>
        <w:rPr>
          <w:rFonts w:asciiTheme="minorHAnsi" w:eastAsiaTheme="minorHAnsi" w:hAnsiTheme="minorHAnsi" w:cstheme="minorBidi"/>
          <w:b w:val="0"/>
          <w:bCs w:val="0"/>
          <w:color w:val="000000" w:themeColor="text1"/>
          <w:sz w:val="22"/>
          <w:szCs w:val="22"/>
          <w:lang w:val="sq-AL"/>
        </w:rPr>
        <w:id w:val="22339656"/>
        <w:docPartObj>
          <w:docPartGallery w:val="Table of Contents"/>
          <w:docPartUnique/>
        </w:docPartObj>
      </w:sdtPr>
      <w:sdtEndPr>
        <w:rPr>
          <w:rFonts w:asciiTheme="majorBidi" w:hAnsiTheme="majorBidi" w:cstheme="majorBidi"/>
          <w:sz w:val="24"/>
          <w:szCs w:val="24"/>
        </w:rPr>
      </w:sdtEndPr>
      <w:sdtContent>
        <w:p w:rsidR="00982F06" w:rsidRPr="005341B9" w:rsidRDefault="00982F06">
          <w:pPr>
            <w:pStyle w:val="TOCHeading"/>
            <w:rPr>
              <w:rFonts w:asciiTheme="minorHAnsi" w:eastAsiaTheme="minorHAnsi" w:hAnsiTheme="minorHAnsi" w:cstheme="minorBidi"/>
              <w:bCs w:val="0"/>
              <w:color w:val="000000" w:themeColor="text1"/>
              <w:sz w:val="22"/>
              <w:szCs w:val="22"/>
            </w:rPr>
          </w:pPr>
          <w:r w:rsidRPr="005341B9">
            <w:rPr>
              <w:rFonts w:asciiTheme="majorBidi" w:hAnsiTheme="majorBidi"/>
              <w:color w:val="000000" w:themeColor="text1"/>
              <w:sz w:val="24"/>
              <w:szCs w:val="24"/>
            </w:rPr>
            <w:t>CONTENTS</w:t>
          </w:r>
        </w:p>
        <w:p w:rsidR="00982F06" w:rsidRPr="005341B9" w:rsidRDefault="00982F06" w:rsidP="00982F06">
          <w:pPr>
            <w:rPr>
              <w:rFonts w:asciiTheme="majorBidi" w:hAnsiTheme="majorBidi" w:cstheme="majorBidi"/>
              <w:bCs/>
              <w:color w:val="000000" w:themeColor="text1"/>
              <w:sz w:val="24"/>
              <w:szCs w:val="24"/>
              <w:lang w:val="en-US"/>
            </w:rPr>
          </w:pPr>
        </w:p>
        <w:p w:rsidR="005341B9" w:rsidRPr="005341B9" w:rsidRDefault="008D0BCA">
          <w:pPr>
            <w:pStyle w:val="TOC1"/>
            <w:tabs>
              <w:tab w:val="right" w:leader="dot" w:pos="9627"/>
            </w:tabs>
            <w:rPr>
              <w:rFonts w:eastAsiaTheme="minorEastAsia"/>
              <w:noProof/>
              <w:lang w:eastAsia="sq-AL"/>
            </w:rPr>
          </w:pPr>
          <w:r w:rsidRPr="005341B9">
            <w:rPr>
              <w:rFonts w:asciiTheme="majorBidi" w:hAnsiTheme="majorBidi" w:cstheme="majorBidi"/>
              <w:bCs/>
              <w:color w:val="000000" w:themeColor="text1"/>
              <w:sz w:val="24"/>
              <w:szCs w:val="24"/>
              <w:lang w:val="en-US"/>
            </w:rPr>
            <w:fldChar w:fldCharType="begin"/>
          </w:r>
          <w:r w:rsidR="00982F06" w:rsidRPr="005341B9">
            <w:rPr>
              <w:rFonts w:asciiTheme="majorBidi" w:hAnsiTheme="majorBidi" w:cstheme="majorBidi"/>
              <w:bCs/>
              <w:color w:val="000000" w:themeColor="text1"/>
              <w:sz w:val="24"/>
              <w:szCs w:val="24"/>
              <w:lang w:val="en-US"/>
            </w:rPr>
            <w:instrText xml:space="preserve"> TOC \o "1-3" \h \z \u </w:instrText>
          </w:r>
          <w:r w:rsidRPr="005341B9">
            <w:rPr>
              <w:rFonts w:asciiTheme="majorBidi" w:hAnsiTheme="majorBidi" w:cstheme="majorBidi"/>
              <w:bCs/>
              <w:color w:val="000000" w:themeColor="text1"/>
              <w:sz w:val="24"/>
              <w:szCs w:val="24"/>
              <w:lang w:val="en-US"/>
            </w:rPr>
            <w:fldChar w:fldCharType="separate"/>
          </w:r>
          <w:hyperlink w:anchor="_Toc24979656" w:history="1">
            <w:r w:rsidR="005341B9" w:rsidRPr="005341B9">
              <w:rPr>
                <w:rStyle w:val="Hyperlink"/>
                <w:rFonts w:ascii="Times New Roman" w:hAnsi="Times New Roman" w:cs="Times New Roman"/>
                <w:b/>
                <w:noProof/>
              </w:rPr>
              <w:t>1. SCOPE</w:t>
            </w:r>
            <w:r w:rsidR="005341B9" w:rsidRPr="005341B9">
              <w:rPr>
                <w:noProof/>
                <w:webHidden/>
              </w:rPr>
              <w:tab/>
            </w:r>
            <w:r w:rsidR="005341B9" w:rsidRPr="005341B9">
              <w:rPr>
                <w:noProof/>
                <w:webHidden/>
              </w:rPr>
              <w:fldChar w:fldCharType="begin"/>
            </w:r>
            <w:r w:rsidR="005341B9" w:rsidRPr="005341B9">
              <w:rPr>
                <w:noProof/>
                <w:webHidden/>
              </w:rPr>
              <w:instrText xml:space="preserve"> PAGEREF _Toc24979656 \h </w:instrText>
            </w:r>
            <w:r w:rsidR="005341B9" w:rsidRPr="005341B9">
              <w:rPr>
                <w:noProof/>
                <w:webHidden/>
              </w:rPr>
            </w:r>
            <w:r w:rsidR="005341B9" w:rsidRPr="005341B9">
              <w:rPr>
                <w:noProof/>
                <w:webHidden/>
              </w:rPr>
              <w:fldChar w:fldCharType="separate"/>
            </w:r>
            <w:r w:rsidR="005341B9" w:rsidRPr="005341B9">
              <w:rPr>
                <w:noProof/>
                <w:webHidden/>
              </w:rPr>
              <w:t>2</w:t>
            </w:r>
            <w:r w:rsidR="005341B9" w:rsidRPr="005341B9">
              <w:rPr>
                <w:noProof/>
                <w:webHidden/>
              </w:rPr>
              <w:fldChar w:fldCharType="end"/>
            </w:r>
          </w:hyperlink>
        </w:p>
        <w:p w:rsidR="005341B9" w:rsidRPr="005341B9" w:rsidRDefault="005341B9">
          <w:pPr>
            <w:pStyle w:val="TOC1"/>
            <w:tabs>
              <w:tab w:val="right" w:leader="dot" w:pos="9627"/>
            </w:tabs>
            <w:rPr>
              <w:rFonts w:eastAsiaTheme="minorEastAsia"/>
              <w:noProof/>
              <w:lang w:eastAsia="sq-AL"/>
            </w:rPr>
          </w:pPr>
          <w:hyperlink w:anchor="_Toc24979657" w:history="1">
            <w:r w:rsidRPr="005341B9">
              <w:rPr>
                <w:rStyle w:val="Hyperlink"/>
                <w:rFonts w:ascii="Times New Roman" w:hAnsi="Times New Roman" w:cs="Times New Roman"/>
                <w:b/>
                <w:noProof/>
              </w:rPr>
              <w:t>2. REFERENCES</w:t>
            </w:r>
            <w:r w:rsidRPr="005341B9">
              <w:rPr>
                <w:noProof/>
                <w:webHidden/>
              </w:rPr>
              <w:tab/>
            </w:r>
            <w:r w:rsidRPr="005341B9">
              <w:rPr>
                <w:noProof/>
                <w:webHidden/>
              </w:rPr>
              <w:fldChar w:fldCharType="begin"/>
            </w:r>
            <w:r w:rsidRPr="005341B9">
              <w:rPr>
                <w:noProof/>
                <w:webHidden/>
              </w:rPr>
              <w:instrText xml:space="preserve"> PAGEREF _Toc24979657 \h </w:instrText>
            </w:r>
            <w:r w:rsidRPr="005341B9">
              <w:rPr>
                <w:noProof/>
                <w:webHidden/>
              </w:rPr>
            </w:r>
            <w:r w:rsidRPr="005341B9">
              <w:rPr>
                <w:noProof/>
                <w:webHidden/>
              </w:rPr>
              <w:fldChar w:fldCharType="separate"/>
            </w:r>
            <w:r w:rsidRPr="005341B9">
              <w:rPr>
                <w:noProof/>
                <w:webHidden/>
              </w:rPr>
              <w:t>3</w:t>
            </w:r>
            <w:r w:rsidRPr="005341B9">
              <w:rPr>
                <w:noProof/>
                <w:webHidden/>
              </w:rPr>
              <w:fldChar w:fldCharType="end"/>
            </w:r>
          </w:hyperlink>
        </w:p>
        <w:p w:rsidR="005341B9" w:rsidRPr="005341B9" w:rsidRDefault="005341B9">
          <w:pPr>
            <w:pStyle w:val="TOC1"/>
            <w:tabs>
              <w:tab w:val="right" w:leader="dot" w:pos="9627"/>
            </w:tabs>
            <w:rPr>
              <w:rFonts w:eastAsiaTheme="minorEastAsia"/>
              <w:noProof/>
              <w:lang w:eastAsia="sq-AL"/>
            </w:rPr>
          </w:pPr>
          <w:hyperlink w:anchor="_Toc24979658" w:history="1">
            <w:r w:rsidRPr="005341B9">
              <w:rPr>
                <w:rStyle w:val="Hyperlink"/>
                <w:rFonts w:ascii="Times New Roman" w:hAnsi="Times New Roman" w:cs="Times New Roman"/>
                <w:b/>
                <w:noProof/>
              </w:rPr>
              <w:t>3. RESPONSIBILITIES</w:t>
            </w:r>
            <w:r w:rsidRPr="005341B9">
              <w:rPr>
                <w:noProof/>
                <w:webHidden/>
              </w:rPr>
              <w:tab/>
            </w:r>
            <w:r w:rsidRPr="005341B9">
              <w:rPr>
                <w:noProof/>
                <w:webHidden/>
              </w:rPr>
              <w:fldChar w:fldCharType="begin"/>
            </w:r>
            <w:r w:rsidRPr="005341B9">
              <w:rPr>
                <w:noProof/>
                <w:webHidden/>
              </w:rPr>
              <w:instrText xml:space="preserve"> PAGEREF _Toc24979658 \h </w:instrText>
            </w:r>
            <w:r w:rsidRPr="005341B9">
              <w:rPr>
                <w:noProof/>
                <w:webHidden/>
              </w:rPr>
            </w:r>
            <w:r w:rsidRPr="005341B9">
              <w:rPr>
                <w:noProof/>
                <w:webHidden/>
              </w:rPr>
              <w:fldChar w:fldCharType="separate"/>
            </w:r>
            <w:r w:rsidRPr="005341B9">
              <w:rPr>
                <w:noProof/>
                <w:webHidden/>
              </w:rPr>
              <w:t>3</w:t>
            </w:r>
            <w:r w:rsidRPr="005341B9">
              <w:rPr>
                <w:noProof/>
                <w:webHidden/>
              </w:rPr>
              <w:fldChar w:fldCharType="end"/>
            </w:r>
          </w:hyperlink>
        </w:p>
        <w:p w:rsidR="005341B9" w:rsidRPr="005341B9" w:rsidRDefault="005341B9">
          <w:pPr>
            <w:pStyle w:val="TOC1"/>
            <w:tabs>
              <w:tab w:val="right" w:leader="dot" w:pos="9627"/>
            </w:tabs>
            <w:rPr>
              <w:rFonts w:eastAsiaTheme="minorEastAsia"/>
              <w:noProof/>
              <w:lang w:eastAsia="sq-AL"/>
            </w:rPr>
          </w:pPr>
          <w:hyperlink w:anchor="_Toc24979659" w:history="1">
            <w:r w:rsidRPr="005341B9">
              <w:rPr>
                <w:rStyle w:val="Hyperlink"/>
                <w:rFonts w:ascii="Times New Roman" w:hAnsi="Times New Roman" w:cs="Times New Roman"/>
                <w:b/>
                <w:noProof/>
                <w:lang w:val="en-US"/>
              </w:rPr>
              <w:t>4. GLOSSARY AND ABBREVIATIONS</w:t>
            </w:r>
            <w:r w:rsidRPr="005341B9">
              <w:rPr>
                <w:noProof/>
                <w:webHidden/>
              </w:rPr>
              <w:tab/>
            </w:r>
            <w:r w:rsidRPr="005341B9">
              <w:rPr>
                <w:noProof/>
                <w:webHidden/>
              </w:rPr>
              <w:fldChar w:fldCharType="begin"/>
            </w:r>
            <w:r w:rsidRPr="005341B9">
              <w:rPr>
                <w:noProof/>
                <w:webHidden/>
              </w:rPr>
              <w:instrText xml:space="preserve"> PAGEREF _Toc24979659 \h </w:instrText>
            </w:r>
            <w:r w:rsidRPr="005341B9">
              <w:rPr>
                <w:noProof/>
                <w:webHidden/>
              </w:rPr>
            </w:r>
            <w:r w:rsidRPr="005341B9">
              <w:rPr>
                <w:noProof/>
                <w:webHidden/>
              </w:rPr>
              <w:fldChar w:fldCharType="separate"/>
            </w:r>
            <w:r w:rsidRPr="005341B9">
              <w:rPr>
                <w:noProof/>
                <w:webHidden/>
              </w:rPr>
              <w:t>3</w:t>
            </w:r>
            <w:r w:rsidRPr="005341B9">
              <w:rPr>
                <w:noProof/>
                <w:webHidden/>
              </w:rPr>
              <w:fldChar w:fldCharType="end"/>
            </w:r>
          </w:hyperlink>
        </w:p>
        <w:p w:rsidR="005341B9" w:rsidRPr="005341B9" w:rsidRDefault="005341B9">
          <w:pPr>
            <w:pStyle w:val="TOC2"/>
            <w:tabs>
              <w:tab w:val="right" w:leader="dot" w:pos="9627"/>
            </w:tabs>
            <w:rPr>
              <w:noProof/>
            </w:rPr>
          </w:pPr>
          <w:hyperlink w:anchor="_Toc24979660" w:history="1">
            <w:r w:rsidRPr="005341B9">
              <w:rPr>
                <w:rStyle w:val="Hyperlink"/>
                <w:rFonts w:ascii="Times New Roman" w:hAnsi="Times New Roman" w:cs="Times New Roman"/>
                <w:noProof/>
                <w:lang w:val="en-US"/>
              </w:rPr>
              <w:t>4.1 Glossary</w:t>
            </w:r>
            <w:r w:rsidRPr="005341B9">
              <w:rPr>
                <w:noProof/>
                <w:webHidden/>
              </w:rPr>
              <w:tab/>
            </w:r>
            <w:r w:rsidRPr="005341B9">
              <w:rPr>
                <w:noProof/>
                <w:webHidden/>
              </w:rPr>
              <w:fldChar w:fldCharType="begin"/>
            </w:r>
            <w:r w:rsidRPr="005341B9">
              <w:rPr>
                <w:noProof/>
                <w:webHidden/>
              </w:rPr>
              <w:instrText xml:space="preserve"> PAGEREF _Toc24979660 \h </w:instrText>
            </w:r>
            <w:r w:rsidRPr="005341B9">
              <w:rPr>
                <w:noProof/>
                <w:webHidden/>
              </w:rPr>
            </w:r>
            <w:r w:rsidRPr="005341B9">
              <w:rPr>
                <w:noProof/>
                <w:webHidden/>
              </w:rPr>
              <w:fldChar w:fldCharType="separate"/>
            </w:r>
            <w:r w:rsidRPr="005341B9">
              <w:rPr>
                <w:noProof/>
                <w:webHidden/>
              </w:rPr>
              <w:t>3</w:t>
            </w:r>
            <w:r w:rsidRPr="005341B9">
              <w:rPr>
                <w:noProof/>
                <w:webHidden/>
              </w:rPr>
              <w:fldChar w:fldCharType="end"/>
            </w:r>
          </w:hyperlink>
        </w:p>
        <w:p w:rsidR="005341B9" w:rsidRPr="005341B9" w:rsidRDefault="005341B9">
          <w:pPr>
            <w:pStyle w:val="TOC2"/>
            <w:tabs>
              <w:tab w:val="right" w:leader="dot" w:pos="9627"/>
            </w:tabs>
            <w:rPr>
              <w:noProof/>
            </w:rPr>
          </w:pPr>
          <w:hyperlink w:anchor="_Toc24979661" w:history="1">
            <w:r w:rsidRPr="005341B9">
              <w:rPr>
                <w:rStyle w:val="Hyperlink"/>
                <w:rFonts w:ascii="Times New Roman" w:hAnsi="Times New Roman" w:cs="Times New Roman"/>
                <w:noProof/>
                <w:lang w:val="en-US"/>
              </w:rPr>
              <w:t>4.2 Abbreviations</w:t>
            </w:r>
            <w:r w:rsidRPr="005341B9">
              <w:rPr>
                <w:noProof/>
                <w:webHidden/>
              </w:rPr>
              <w:tab/>
            </w:r>
            <w:r w:rsidRPr="005341B9">
              <w:rPr>
                <w:noProof/>
                <w:webHidden/>
              </w:rPr>
              <w:fldChar w:fldCharType="begin"/>
            </w:r>
            <w:r w:rsidRPr="005341B9">
              <w:rPr>
                <w:noProof/>
                <w:webHidden/>
              </w:rPr>
              <w:instrText xml:space="preserve"> PAGEREF _Toc24979661 \h </w:instrText>
            </w:r>
            <w:r w:rsidRPr="005341B9">
              <w:rPr>
                <w:noProof/>
                <w:webHidden/>
              </w:rPr>
            </w:r>
            <w:r w:rsidRPr="005341B9">
              <w:rPr>
                <w:noProof/>
                <w:webHidden/>
              </w:rPr>
              <w:fldChar w:fldCharType="separate"/>
            </w:r>
            <w:r w:rsidRPr="005341B9">
              <w:rPr>
                <w:noProof/>
                <w:webHidden/>
              </w:rPr>
              <w:t>3</w:t>
            </w:r>
            <w:r w:rsidRPr="005341B9">
              <w:rPr>
                <w:noProof/>
                <w:webHidden/>
              </w:rPr>
              <w:fldChar w:fldCharType="end"/>
            </w:r>
          </w:hyperlink>
        </w:p>
        <w:p w:rsidR="005341B9" w:rsidRPr="005341B9" w:rsidRDefault="005341B9">
          <w:pPr>
            <w:pStyle w:val="TOC1"/>
            <w:tabs>
              <w:tab w:val="right" w:leader="dot" w:pos="9627"/>
            </w:tabs>
            <w:rPr>
              <w:rFonts w:eastAsiaTheme="minorEastAsia"/>
              <w:noProof/>
              <w:lang w:eastAsia="sq-AL"/>
            </w:rPr>
          </w:pPr>
          <w:hyperlink w:anchor="_Toc24979662" w:history="1">
            <w:r w:rsidRPr="005341B9">
              <w:rPr>
                <w:rStyle w:val="Hyperlink"/>
                <w:rFonts w:ascii="Times New Roman" w:hAnsi="Times New Roman" w:cs="Times New Roman"/>
                <w:b/>
                <w:noProof/>
                <w:lang w:val="en-US"/>
              </w:rPr>
              <w:t>5. DESCRIPTION OF POLICY</w:t>
            </w:r>
            <w:r w:rsidRPr="005341B9">
              <w:rPr>
                <w:noProof/>
                <w:webHidden/>
              </w:rPr>
              <w:tab/>
            </w:r>
            <w:r w:rsidRPr="005341B9">
              <w:rPr>
                <w:noProof/>
                <w:webHidden/>
              </w:rPr>
              <w:fldChar w:fldCharType="begin"/>
            </w:r>
            <w:r w:rsidRPr="005341B9">
              <w:rPr>
                <w:noProof/>
                <w:webHidden/>
              </w:rPr>
              <w:instrText xml:space="preserve"> PAGEREF _Toc24979662 \h </w:instrText>
            </w:r>
            <w:r w:rsidRPr="005341B9">
              <w:rPr>
                <w:noProof/>
                <w:webHidden/>
              </w:rPr>
            </w:r>
            <w:r w:rsidRPr="005341B9">
              <w:rPr>
                <w:noProof/>
                <w:webHidden/>
              </w:rPr>
              <w:fldChar w:fldCharType="separate"/>
            </w:r>
            <w:r w:rsidRPr="005341B9">
              <w:rPr>
                <w:noProof/>
                <w:webHidden/>
              </w:rPr>
              <w:t>4</w:t>
            </w:r>
            <w:r w:rsidRPr="005341B9">
              <w:rPr>
                <w:noProof/>
                <w:webHidden/>
              </w:rPr>
              <w:fldChar w:fldCharType="end"/>
            </w:r>
          </w:hyperlink>
        </w:p>
        <w:p w:rsidR="005341B9" w:rsidRPr="005341B9" w:rsidRDefault="005341B9">
          <w:pPr>
            <w:pStyle w:val="TOC1"/>
            <w:tabs>
              <w:tab w:val="right" w:leader="dot" w:pos="9627"/>
            </w:tabs>
            <w:rPr>
              <w:rFonts w:eastAsiaTheme="minorEastAsia"/>
              <w:noProof/>
              <w:lang w:eastAsia="sq-AL"/>
            </w:rPr>
          </w:pPr>
          <w:hyperlink w:anchor="_Toc24979663" w:history="1">
            <w:r w:rsidRPr="005341B9">
              <w:rPr>
                <w:rStyle w:val="Hyperlink"/>
                <w:rFonts w:ascii="Times New Roman" w:eastAsia="Calibri" w:hAnsi="Times New Roman" w:cs="Times New Roman"/>
                <w:b/>
                <w:noProof/>
                <w:lang w:val="en-US"/>
              </w:rPr>
              <w:t>6. ANNEXES</w:t>
            </w:r>
            <w:r w:rsidRPr="005341B9">
              <w:rPr>
                <w:noProof/>
                <w:webHidden/>
              </w:rPr>
              <w:tab/>
            </w:r>
            <w:r w:rsidRPr="005341B9">
              <w:rPr>
                <w:noProof/>
                <w:webHidden/>
              </w:rPr>
              <w:fldChar w:fldCharType="begin"/>
            </w:r>
            <w:r w:rsidRPr="005341B9">
              <w:rPr>
                <w:noProof/>
                <w:webHidden/>
              </w:rPr>
              <w:instrText xml:space="preserve"> PAGEREF _Toc24979663 \h </w:instrText>
            </w:r>
            <w:r w:rsidRPr="005341B9">
              <w:rPr>
                <w:noProof/>
                <w:webHidden/>
              </w:rPr>
            </w:r>
            <w:r w:rsidRPr="005341B9">
              <w:rPr>
                <w:noProof/>
                <w:webHidden/>
              </w:rPr>
              <w:fldChar w:fldCharType="separate"/>
            </w:r>
            <w:r w:rsidRPr="005341B9">
              <w:rPr>
                <w:noProof/>
                <w:webHidden/>
              </w:rPr>
              <w:t>6</w:t>
            </w:r>
            <w:r w:rsidRPr="005341B9">
              <w:rPr>
                <w:noProof/>
                <w:webHidden/>
              </w:rPr>
              <w:fldChar w:fldCharType="end"/>
            </w:r>
          </w:hyperlink>
        </w:p>
        <w:p w:rsidR="005341B9" w:rsidRPr="005341B9" w:rsidRDefault="005341B9">
          <w:pPr>
            <w:pStyle w:val="TOC1"/>
            <w:tabs>
              <w:tab w:val="right" w:leader="dot" w:pos="9627"/>
            </w:tabs>
            <w:rPr>
              <w:rFonts w:eastAsiaTheme="minorEastAsia"/>
              <w:noProof/>
              <w:lang w:eastAsia="sq-AL"/>
            </w:rPr>
          </w:pPr>
          <w:hyperlink w:anchor="_Toc24979664" w:history="1">
            <w:r w:rsidRPr="005341B9">
              <w:rPr>
                <w:rStyle w:val="Hyperlink"/>
                <w:rFonts w:ascii="Times New Roman" w:eastAsia="Calibri" w:hAnsi="Times New Roman" w:cs="Times New Roman"/>
                <w:b/>
                <w:noProof/>
                <w:lang w:val="en-US"/>
              </w:rPr>
              <w:t>7. RECORDS</w:t>
            </w:r>
            <w:r w:rsidRPr="005341B9">
              <w:rPr>
                <w:noProof/>
                <w:webHidden/>
              </w:rPr>
              <w:tab/>
            </w:r>
            <w:r w:rsidRPr="005341B9">
              <w:rPr>
                <w:noProof/>
                <w:webHidden/>
              </w:rPr>
              <w:fldChar w:fldCharType="begin"/>
            </w:r>
            <w:r w:rsidRPr="005341B9">
              <w:rPr>
                <w:noProof/>
                <w:webHidden/>
              </w:rPr>
              <w:instrText xml:space="preserve"> PAGEREF _Toc24979664 \h </w:instrText>
            </w:r>
            <w:r w:rsidRPr="005341B9">
              <w:rPr>
                <w:noProof/>
                <w:webHidden/>
              </w:rPr>
            </w:r>
            <w:r w:rsidRPr="005341B9">
              <w:rPr>
                <w:noProof/>
                <w:webHidden/>
              </w:rPr>
              <w:fldChar w:fldCharType="separate"/>
            </w:r>
            <w:r w:rsidRPr="005341B9">
              <w:rPr>
                <w:noProof/>
                <w:webHidden/>
              </w:rPr>
              <w:t>6</w:t>
            </w:r>
            <w:r w:rsidRPr="005341B9">
              <w:rPr>
                <w:noProof/>
                <w:webHidden/>
              </w:rPr>
              <w:fldChar w:fldCharType="end"/>
            </w:r>
          </w:hyperlink>
        </w:p>
        <w:p w:rsidR="005341B9" w:rsidRPr="005341B9" w:rsidRDefault="005341B9">
          <w:pPr>
            <w:pStyle w:val="TOC1"/>
            <w:tabs>
              <w:tab w:val="right" w:leader="dot" w:pos="9627"/>
            </w:tabs>
            <w:rPr>
              <w:rFonts w:eastAsiaTheme="minorEastAsia"/>
              <w:noProof/>
              <w:lang w:eastAsia="sq-AL"/>
            </w:rPr>
          </w:pPr>
          <w:hyperlink w:anchor="_Toc24979665" w:history="1">
            <w:r w:rsidRPr="005341B9">
              <w:rPr>
                <w:rStyle w:val="Hyperlink"/>
                <w:rFonts w:ascii="Times New Roman" w:hAnsi="Times New Roman" w:cs="Times New Roman"/>
                <w:b/>
                <w:noProof/>
              </w:rPr>
              <w:t>8. HISTORY</w:t>
            </w:r>
            <w:r w:rsidRPr="005341B9">
              <w:rPr>
                <w:noProof/>
                <w:webHidden/>
              </w:rPr>
              <w:tab/>
            </w:r>
            <w:r w:rsidRPr="005341B9">
              <w:rPr>
                <w:noProof/>
                <w:webHidden/>
              </w:rPr>
              <w:fldChar w:fldCharType="begin"/>
            </w:r>
            <w:r w:rsidRPr="005341B9">
              <w:rPr>
                <w:noProof/>
                <w:webHidden/>
              </w:rPr>
              <w:instrText xml:space="preserve"> PAGEREF _Toc24979665 \h </w:instrText>
            </w:r>
            <w:r w:rsidRPr="005341B9">
              <w:rPr>
                <w:noProof/>
                <w:webHidden/>
              </w:rPr>
            </w:r>
            <w:r w:rsidRPr="005341B9">
              <w:rPr>
                <w:noProof/>
                <w:webHidden/>
              </w:rPr>
              <w:fldChar w:fldCharType="separate"/>
            </w:r>
            <w:r w:rsidRPr="005341B9">
              <w:rPr>
                <w:noProof/>
                <w:webHidden/>
              </w:rPr>
              <w:t>6</w:t>
            </w:r>
            <w:r w:rsidRPr="005341B9">
              <w:rPr>
                <w:noProof/>
                <w:webHidden/>
              </w:rPr>
              <w:fldChar w:fldCharType="end"/>
            </w:r>
          </w:hyperlink>
        </w:p>
        <w:p w:rsidR="00982F06" w:rsidRPr="001D5158" w:rsidRDefault="008D0BCA">
          <w:pPr>
            <w:rPr>
              <w:rFonts w:asciiTheme="majorBidi" w:hAnsiTheme="majorBidi" w:cstheme="majorBidi"/>
              <w:color w:val="000000" w:themeColor="text1"/>
              <w:sz w:val="24"/>
              <w:szCs w:val="24"/>
              <w:lang w:val="en-US"/>
            </w:rPr>
          </w:pPr>
          <w:r w:rsidRPr="005341B9">
            <w:rPr>
              <w:rFonts w:asciiTheme="majorBidi" w:hAnsiTheme="majorBidi" w:cstheme="majorBidi"/>
              <w:bCs/>
              <w:color w:val="000000" w:themeColor="text1"/>
              <w:sz w:val="24"/>
              <w:szCs w:val="24"/>
              <w:lang w:val="en-US"/>
            </w:rPr>
            <w:fldChar w:fldCharType="end"/>
          </w:r>
        </w:p>
      </w:sdtContent>
    </w:sdt>
    <w:p w:rsidR="00982F06" w:rsidRPr="001D5158" w:rsidRDefault="00982F06" w:rsidP="00982F06">
      <w:pPr>
        <w:rPr>
          <w:rFonts w:asciiTheme="majorBidi" w:hAnsiTheme="majorBidi" w:cstheme="majorBidi"/>
          <w:color w:val="000000" w:themeColor="text1"/>
          <w:sz w:val="24"/>
          <w:szCs w:val="24"/>
          <w:lang w:val="en-US"/>
        </w:rPr>
      </w:pPr>
    </w:p>
    <w:p w:rsidR="00982F06" w:rsidRPr="001D5158" w:rsidRDefault="00982F06" w:rsidP="00982F06">
      <w:pPr>
        <w:rPr>
          <w:rFonts w:asciiTheme="majorBidi" w:hAnsiTheme="majorBidi" w:cstheme="majorBidi"/>
          <w:color w:val="000000" w:themeColor="text1"/>
          <w:sz w:val="24"/>
          <w:szCs w:val="24"/>
          <w:lang w:val="en-US"/>
        </w:rPr>
      </w:pPr>
    </w:p>
    <w:p w:rsidR="00982F06" w:rsidRPr="001D5158" w:rsidRDefault="00982F06" w:rsidP="00982F06">
      <w:pPr>
        <w:rPr>
          <w:rFonts w:asciiTheme="majorBidi" w:hAnsiTheme="majorBidi" w:cstheme="majorBidi"/>
          <w:color w:val="000000" w:themeColor="text1"/>
          <w:sz w:val="24"/>
          <w:szCs w:val="24"/>
          <w:lang w:val="en-US"/>
        </w:rPr>
      </w:pPr>
    </w:p>
    <w:p w:rsidR="00982F06" w:rsidRPr="001D5158" w:rsidRDefault="00982F06" w:rsidP="00982F06">
      <w:pPr>
        <w:rPr>
          <w:rFonts w:asciiTheme="majorBidi" w:hAnsiTheme="majorBidi" w:cstheme="majorBidi"/>
          <w:color w:val="000000" w:themeColor="text1"/>
          <w:sz w:val="24"/>
          <w:szCs w:val="24"/>
          <w:lang w:val="en-US"/>
        </w:rPr>
      </w:pPr>
    </w:p>
    <w:p w:rsidR="00982F06" w:rsidRPr="001D5158" w:rsidRDefault="00982F06" w:rsidP="00982F06">
      <w:pPr>
        <w:rPr>
          <w:rFonts w:asciiTheme="majorBidi" w:hAnsiTheme="majorBidi" w:cstheme="majorBidi"/>
          <w:color w:val="000000" w:themeColor="text1"/>
          <w:sz w:val="24"/>
          <w:szCs w:val="24"/>
          <w:lang w:val="en-US"/>
        </w:rPr>
      </w:pPr>
    </w:p>
    <w:p w:rsidR="00982F06" w:rsidRPr="001D5158" w:rsidRDefault="00982F06" w:rsidP="00982F06">
      <w:pPr>
        <w:rPr>
          <w:rFonts w:asciiTheme="majorBidi" w:hAnsiTheme="majorBidi" w:cstheme="majorBidi"/>
          <w:color w:val="000000" w:themeColor="text1"/>
          <w:sz w:val="24"/>
          <w:szCs w:val="24"/>
          <w:lang w:val="en-US"/>
        </w:rPr>
      </w:pPr>
    </w:p>
    <w:p w:rsidR="00982F06" w:rsidRPr="001D5158" w:rsidRDefault="00982F06" w:rsidP="00982F06">
      <w:pPr>
        <w:rPr>
          <w:rFonts w:asciiTheme="majorBidi" w:hAnsiTheme="majorBidi" w:cstheme="majorBidi"/>
          <w:color w:val="000000" w:themeColor="text1"/>
          <w:sz w:val="24"/>
          <w:szCs w:val="24"/>
          <w:lang w:val="en-US"/>
        </w:rPr>
      </w:pPr>
    </w:p>
    <w:p w:rsidR="00982F06" w:rsidRPr="001D5158" w:rsidRDefault="00982F06" w:rsidP="00982F06">
      <w:pPr>
        <w:rPr>
          <w:rFonts w:asciiTheme="majorBidi" w:hAnsiTheme="majorBidi" w:cstheme="majorBidi"/>
          <w:color w:val="000000" w:themeColor="text1"/>
          <w:sz w:val="24"/>
          <w:szCs w:val="24"/>
          <w:lang w:val="en-US"/>
        </w:rPr>
      </w:pPr>
    </w:p>
    <w:p w:rsidR="00982F06" w:rsidRPr="001D5158" w:rsidRDefault="00982F06" w:rsidP="00982F06">
      <w:pPr>
        <w:rPr>
          <w:rFonts w:asciiTheme="majorBidi" w:hAnsiTheme="majorBidi" w:cstheme="majorBidi"/>
          <w:color w:val="000000" w:themeColor="text1"/>
          <w:sz w:val="24"/>
          <w:szCs w:val="24"/>
          <w:lang w:val="en-US"/>
        </w:rPr>
      </w:pPr>
    </w:p>
    <w:p w:rsidR="00982F06" w:rsidRPr="001D5158" w:rsidRDefault="00982F06" w:rsidP="00CE78EC">
      <w:pPr>
        <w:spacing w:after="0" w:line="240" w:lineRule="auto"/>
        <w:ind w:left="5041"/>
        <w:jc w:val="center"/>
        <w:rPr>
          <w:rFonts w:asciiTheme="majorBidi" w:hAnsiTheme="majorBidi" w:cstheme="majorBidi"/>
          <w:color w:val="000000" w:themeColor="text1"/>
          <w:sz w:val="24"/>
          <w:szCs w:val="24"/>
          <w:lang w:val="en-US"/>
        </w:rPr>
      </w:pPr>
    </w:p>
    <w:p w:rsidR="00CE78EC" w:rsidRPr="001D5158" w:rsidRDefault="00CE78EC" w:rsidP="00CE78EC">
      <w:pPr>
        <w:spacing w:after="0" w:line="240" w:lineRule="auto"/>
        <w:ind w:left="5041"/>
        <w:jc w:val="center"/>
        <w:rPr>
          <w:rFonts w:asciiTheme="majorBidi" w:hAnsiTheme="majorBidi" w:cstheme="majorBidi"/>
          <w:color w:val="000000" w:themeColor="text1"/>
          <w:sz w:val="24"/>
          <w:szCs w:val="24"/>
          <w:lang w:val="en-US"/>
        </w:rPr>
      </w:pPr>
    </w:p>
    <w:p w:rsidR="00CE78EC" w:rsidRPr="001D5158" w:rsidRDefault="00CE78EC" w:rsidP="00CE78EC">
      <w:pPr>
        <w:spacing w:after="0" w:line="240" w:lineRule="auto"/>
        <w:ind w:left="5041"/>
        <w:jc w:val="center"/>
        <w:rPr>
          <w:rFonts w:asciiTheme="majorBidi" w:hAnsiTheme="majorBidi" w:cstheme="majorBidi"/>
          <w:color w:val="000000" w:themeColor="text1"/>
          <w:sz w:val="24"/>
          <w:szCs w:val="24"/>
          <w:lang w:val="en-US"/>
        </w:rPr>
      </w:pPr>
    </w:p>
    <w:p w:rsidR="00CE78EC" w:rsidRPr="001D5158" w:rsidRDefault="00CE78EC" w:rsidP="00CE78EC">
      <w:pPr>
        <w:spacing w:after="0" w:line="240" w:lineRule="auto"/>
        <w:ind w:left="5041"/>
        <w:jc w:val="center"/>
        <w:rPr>
          <w:rFonts w:asciiTheme="majorBidi" w:hAnsiTheme="majorBidi" w:cstheme="majorBidi"/>
          <w:color w:val="000000" w:themeColor="text1"/>
          <w:sz w:val="24"/>
          <w:szCs w:val="24"/>
          <w:lang w:val="en-US"/>
        </w:rPr>
      </w:pPr>
    </w:p>
    <w:p w:rsidR="001D5158" w:rsidRDefault="001D5158" w:rsidP="00D0482D">
      <w:pPr>
        <w:jc w:val="both"/>
        <w:rPr>
          <w:rFonts w:asciiTheme="majorBidi" w:eastAsia="Calibri" w:hAnsiTheme="majorBidi" w:cstheme="majorBidi"/>
          <w:b/>
          <w:caps/>
          <w:color w:val="000000" w:themeColor="text1"/>
          <w:sz w:val="24"/>
          <w:szCs w:val="24"/>
          <w:lang w:val="en-US"/>
        </w:rPr>
      </w:pPr>
      <w:bookmarkStart w:id="0" w:name="_Toc421093105"/>
    </w:p>
    <w:p w:rsidR="005341B9" w:rsidRDefault="005341B9" w:rsidP="00D0482D">
      <w:pPr>
        <w:jc w:val="both"/>
        <w:rPr>
          <w:rFonts w:asciiTheme="majorBidi" w:eastAsia="Calibri" w:hAnsiTheme="majorBidi" w:cstheme="majorBidi"/>
          <w:b/>
          <w:caps/>
          <w:color w:val="000000" w:themeColor="text1"/>
          <w:sz w:val="24"/>
          <w:szCs w:val="24"/>
          <w:lang w:val="en-US"/>
        </w:rPr>
      </w:pPr>
    </w:p>
    <w:p w:rsidR="005341B9" w:rsidRDefault="005341B9" w:rsidP="00D0482D">
      <w:pPr>
        <w:jc w:val="both"/>
        <w:rPr>
          <w:rFonts w:asciiTheme="majorBidi" w:eastAsia="Calibri" w:hAnsiTheme="majorBidi" w:cstheme="majorBidi"/>
          <w:b/>
          <w:caps/>
          <w:color w:val="000000" w:themeColor="text1"/>
          <w:sz w:val="24"/>
          <w:szCs w:val="24"/>
          <w:lang w:val="en-US"/>
        </w:rPr>
      </w:pPr>
    </w:p>
    <w:p w:rsidR="005341B9" w:rsidRDefault="005341B9" w:rsidP="00D0482D">
      <w:pPr>
        <w:jc w:val="both"/>
        <w:rPr>
          <w:rFonts w:asciiTheme="majorBidi" w:eastAsia="Calibri" w:hAnsiTheme="majorBidi" w:cstheme="majorBidi"/>
          <w:b/>
          <w:caps/>
          <w:color w:val="000000" w:themeColor="text1"/>
          <w:sz w:val="24"/>
          <w:szCs w:val="24"/>
          <w:lang w:val="en-US"/>
        </w:rPr>
      </w:pPr>
    </w:p>
    <w:p w:rsidR="005341B9" w:rsidRPr="001D5158" w:rsidRDefault="005341B9" w:rsidP="00D0482D">
      <w:pPr>
        <w:jc w:val="both"/>
        <w:rPr>
          <w:rFonts w:asciiTheme="majorBidi" w:eastAsia="Calibri" w:hAnsiTheme="majorBidi" w:cstheme="majorBidi"/>
          <w:b/>
          <w:caps/>
          <w:color w:val="000000" w:themeColor="text1"/>
          <w:sz w:val="24"/>
          <w:szCs w:val="24"/>
          <w:lang w:val="en-US"/>
        </w:rPr>
      </w:pPr>
    </w:p>
    <w:p w:rsidR="00D0482D" w:rsidRPr="00646822" w:rsidRDefault="00D0482D" w:rsidP="00646822">
      <w:pPr>
        <w:pStyle w:val="Heading1"/>
        <w:rPr>
          <w:rFonts w:ascii="Times New Roman" w:hAnsi="Times New Roman" w:cs="Times New Roman"/>
          <w:color w:val="000000" w:themeColor="text1"/>
          <w:sz w:val="24"/>
          <w:szCs w:val="24"/>
        </w:rPr>
      </w:pPr>
      <w:bookmarkStart w:id="1" w:name="_Toc24979656"/>
      <w:r w:rsidRPr="00646822">
        <w:rPr>
          <w:rFonts w:ascii="Times New Roman" w:hAnsi="Times New Roman" w:cs="Times New Roman"/>
          <w:color w:val="000000" w:themeColor="text1"/>
          <w:sz w:val="24"/>
          <w:szCs w:val="24"/>
        </w:rPr>
        <w:lastRenderedPageBreak/>
        <w:t xml:space="preserve">1. </w:t>
      </w:r>
      <w:r w:rsidR="00906795" w:rsidRPr="00646822">
        <w:rPr>
          <w:rFonts w:ascii="Times New Roman" w:hAnsi="Times New Roman" w:cs="Times New Roman"/>
          <w:color w:val="000000" w:themeColor="text1"/>
          <w:sz w:val="24"/>
          <w:szCs w:val="24"/>
        </w:rPr>
        <w:t>SCOPE</w:t>
      </w:r>
      <w:bookmarkEnd w:id="1"/>
    </w:p>
    <w:p w:rsidR="00D0482D" w:rsidRPr="001D5158" w:rsidRDefault="00D0482D" w:rsidP="00E46310">
      <w:pPr>
        <w:spacing w:after="0" w:line="240" w:lineRule="auto"/>
        <w:jc w:val="both"/>
        <w:rPr>
          <w:rFonts w:asciiTheme="majorBidi" w:eastAsia="Calibri" w:hAnsiTheme="majorBidi" w:cstheme="majorBidi"/>
          <w:b/>
          <w:color w:val="000000" w:themeColor="text1"/>
          <w:sz w:val="24"/>
          <w:szCs w:val="24"/>
          <w:lang w:val="en-US"/>
        </w:rPr>
      </w:pPr>
    </w:p>
    <w:p w:rsidR="00E565CA" w:rsidRPr="00E565CA" w:rsidRDefault="00BB6265" w:rsidP="00E565CA">
      <w:pPr>
        <w:spacing w:after="0" w:line="240" w:lineRule="auto"/>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This document describes the policy of the DAK regarding the traceability of measurements</w:t>
      </w:r>
      <w:r w:rsidR="00A735C0" w:rsidRPr="001D5158">
        <w:rPr>
          <w:rFonts w:asciiTheme="majorBidi" w:eastAsia="Calibri" w:hAnsiTheme="majorBidi" w:cstheme="majorBidi"/>
          <w:color w:val="000000" w:themeColor="text1"/>
          <w:sz w:val="24"/>
          <w:szCs w:val="24"/>
          <w:lang w:val="en-US"/>
        </w:rPr>
        <w:t>. This policy may also be applied to other conformity assessment activities where testing and/or calibration is involved (</w:t>
      </w:r>
      <w:r w:rsidR="00043F35">
        <w:rPr>
          <w:rFonts w:asciiTheme="majorBidi" w:eastAsia="Calibri" w:hAnsiTheme="majorBidi" w:cstheme="majorBidi"/>
          <w:color w:val="000000" w:themeColor="text1"/>
          <w:sz w:val="24"/>
          <w:szCs w:val="24"/>
          <w:lang w:val="en-US"/>
        </w:rPr>
        <w:t xml:space="preserve">e.g., inspection, </w:t>
      </w:r>
      <w:r w:rsidR="00A735C0" w:rsidRPr="001D5158">
        <w:rPr>
          <w:rFonts w:asciiTheme="majorBidi" w:eastAsia="Calibri" w:hAnsiTheme="majorBidi" w:cstheme="majorBidi"/>
          <w:color w:val="000000" w:themeColor="text1"/>
          <w:sz w:val="24"/>
          <w:szCs w:val="24"/>
          <w:lang w:val="en-US"/>
        </w:rPr>
        <w:t>product certification</w:t>
      </w:r>
      <w:r w:rsidR="00043F35">
        <w:rPr>
          <w:rFonts w:asciiTheme="majorBidi" w:eastAsia="Calibri" w:hAnsiTheme="majorBidi" w:cstheme="majorBidi"/>
          <w:color w:val="000000" w:themeColor="text1"/>
          <w:sz w:val="24"/>
          <w:szCs w:val="24"/>
          <w:lang w:val="en-US"/>
        </w:rPr>
        <w:t>,</w:t>
      </w:r>
      <w:r w:rsidR="00DF1772">
        <w:rPr>
          <w:rFonts w:asciiTheme="majorBidi" w:eastAsia="Calibri" w:hAnsiTheme="majorBidi" w:cstheme="majorBidi"/>
          <w:color w:val="000000" w:themeColor="text1"/>
          <w:sz w:val="24"/>
          <w:szCs w:val="24"/>
          <w:lang w:val="en-US"/>
        </w:rPr>
        <w:t>).</w:t>
      </w:r>
    </w:p>
    <w:p w:rsidR="00E565CA" w:rsidRPr="001D5158" w:rsidRDefault="004F0B2E" w:rsidP="00E565CA">
      <w:pPr>
        <w:spacing w:after="0" w:line="240" w:lineRule="auto"/>
        <w:jc w:val="both"/>
        <w:rPr>
          <w:rFonts w:asciiTheme="majorBidi" w:eastAsia="Calibri" w:hAnsiTheme="majorBidi" w:cstheme="majorBidi"/>
          <w:color w:val="000000" w:themeColor="text1"/>
          <w:sz w:val="24"/>
          <w:szCs w:val="24"/>
          <w:lang w:val="en-US"/>
        </w:rPr>
      </w:pPr>
      <w:r>
        <w:rPr>
          <w:rFonts w:asciiTheme="majorBidi" w:eastAsia="Calibri" w:hAnsiTheme="majorBidi" w:cstheme="majorBidi"/>
          <w:color w:val="000000" w:themeColor="text1"/>
          <w:sz w:val="24"/>
          <w:szCs w:val="24"/>
          <w:lang w:val="en-US"/>
        </w:rPr>
        <w:t>DAK</w:t>
      </w:r>
      <w:r w:rsidR="00E565CA" w:rsidRPr="00E565CA">
        <w:rPr>
          <w:rFonts w:asciiTheme="majorBidi" w:eastAsia="Calibri" w:hAnsiTheme="majorBidi" w:cstheme="majorBidi"/>
          <w:color w:val="000000" w:themeColor="text1"/>
          <w:sz w:val="24"/>
          <w:szCs w:val="24"/>
          <w:lang w:val="en-US"/>
        </w:rPr>
        <w:t xml:space="preserve"> defined the following policy to ensure </w:t>
      </w:r>
      <w:r w:rsidR="00CF1A33">
        <w:rPr>
          <w:rFonts w:asciiTheme="majorBidi" w:eastAsia="Calibri" w:hAnsiTheme="majorBidi" w:cstheme="majorBidi"/>
          <w:color w:val="000000" w:themeColor="text1"/>
          <w:sz w:val="24"/>
          <w:szCs w:val="24"/>
          <w:lang w:val="en-US"/>
        </w:rPr>
        <w:t xml:space="preserve">the </w:t>
      </w:r>
      <w:r w:rsidR="00E565CA" w:rsidRPr="00E565CA">
        <w:rPr>
          <w:rFonts w:asciiTheme="majorBidi" w:eastAsia="Calibri" w:hAnsiTheme="majorBidi" w:cstheme="majorBidi"/>
          <w:color w:val="000000" w:themeColor="text1"/>
          <w:sz w:val="24"/>
          <w:szCs w:val="24"/>
          <w:lang w:val="en-US"/>
        </w:rPr>
        <w:t>implementation of ILAC P10</w:t>
      </w:r>
      <w:r>
        <w:rPr>
          <w:rFonts w:asciiTheme="majorBidi" w:eastAsia="Calibri" w:hAnsiTheme="majorBidi" w:cstheme="majorBidi"/>
          <w:color w:val="000000" w:themeColor="text1"/>
          <w:sz w:val="24"/>
          <w:szCs w:val="24"/>
          <w:lang w:val="en-US"/>
        </w:rPr>
        <w:t>:2013</w:t>
      </w:r>
      <w:r w:rsidR="00E565CA" w:rsidRPr="00E565CA">
        <w:rPr>
          <w:rFonts w:asciiTheme="majorBidi" w:eastAsia="Calibri" w:hAnsiTheme="majorBidi" w:cstheme="majorBidi"/>
          <w:color w:val="000000" w:themeColor="text1"/>
          <w:sz w:val="24"/>
          <w:szCs w:val="24"/>
          <w:lang w:val="en-US"/>
        </w:rPr>
        <w:t xml:space="preserve"> requirements on traceability of measurement results.</w:t>
      </w:r>
    </w:p>
    <w:p w:rsidR="00E46310" w:rsidRPr="001D5158" w:rsidRDefault="00E46310" w:rsidP="00E46310">
      <w:pPr>
        <w:spacing w:after="0" w:line="240" w:lineRule="auto"/>
        <w:jc w:val="both"/>
        <w:rPr>
          <w:rFonts w:asciiTheme="majorBidi" w:eastAsia="Calibri" w:hAnsiTheme="majorBidi" w:cstheme="majorBidi"/>
          <w:color w:val="000000" w:themeColor="text1"/>
          <w:sz w:val="24"/>
          <w:szCs w:val="24"/>
          <w:lang w:val="en-US"/>
        </w:rPr>
      </w:pPr>
    </w:p>
    <w:p w:rsidR="00D0482D" w:rsidRPr="00DF1772" w:rsidRDefault="00D0482D" w:rsidP="00DF1772">
      <w:pPr>
        <w:pStyle w:val="Heading1"/>
        <w:rPr>
          <w:rFonts w:ascii="Times New Roman" w:hAnsi="Times New Roman" w:cs="Times New Roman"/>
          <w:color w:val="000000" w:themeColor="text1"/>
          <w:sz w:val="24"/>
          <w:szCs w:val="24"/>
        </w:rPr>
      </w:pPr>
      <w:bookmarkStart w:id="2" w:name="_Toc24979657"/>
      <w:r w:rsidRPr="00DF1772">
        <w:rPr>
          <w:rFonts w:ascii="Times New Roman" w:hAnsi="Times New Roman" w:cs="Times New Roman"/>
          <w:color w:val="000000" w:themeColor="text1"/>
          <w:sz w:val="24"/>
          <w:szCs w:val="24"/>
        </w:rPr>
        <w:t>2. REFERENCES</w:t>
      </w:r>
      <w:bookmarkEnd w:id="2"/>
    </w:p>
    <w:p w:rsidR="00D0482D" w:rsidRPr="001D5158" w:rsidRDefault="00D0482D" w:rsidP="00D0482D">
      <w:pPr>
        <w:spacing w:after="0" w:line="240" w:lineRule="auto"/>
        <w:jc w:val="both"/>
        <w:rPr>
          <w:rFonts w:asciiTheme="majorBidi" w:eastAsia="Calibri" w:hAnsiTheme="majorBidi" w:cstheme="majorBidi"/>
          <w:b/>
          <w:color w:val="000000" w:themeColor="text1"/>
          <w:sz w:val="24"/>
          <w:szCs w:val="24"/>
          <w:lang w:val="en-US"/>
        </w:rPr>
      </w:pPr>
    </w:p>
    <w:p w:rsidR="00CF1A33" w:rsidRPr="001D0D0A" w:rsidRDefault="00CF1A33" w:rsidP="00CF1A33">
      <w:pPr>
        <w:pStyle w:val="NormalWeb"/>
        <w:numPr>
          <w:ilvl w:val="0"/>
          <w:numId w:val="17"/>
        </w:numPr>
        <w:spacing w:before="120" w:beforeAutospacing="0" w:after="0" w:afterAutospacing="0"/>
        <w:ind w:left="714" w:hanging="357"/>
        <w:jc w:val="both"/>
        <w:rPr>
          <w:rStyle w:val="hps"/>
          <w:rFonts w:asciiTheme="majorBidi" w:hAnsiTheme="majorBidi" w:cstheme="majorBidi"/>
          <w:color w:val="000000" w:themeColor="text1"/>
          <w:lang w:val="en-GB"/>
        </w:rPr>
      </w:pPr>
      <w:r>
        <w:rPr>
          <w:rStyle w:val="hps"/>
          <w:rFonts w:asciiTheme="majorBidi" w:hAnsiTheme="majorBidi" w:cstheme="majorBidi"/>
          <w:color w:val="000000" w:themeColor="text1"/>
          <w:lang w:val="en-GB"/>
        </w:rPr>
        <w:t xml:space="preserve">ISO/IEC 17011:2017 </w:t>
      </w:r>
      <w:r w:rsidRPr="00AB3C42">
        <w:rPr>
          <w:color w:val="000000"/>
          <w:lang w:val="en-GB"/>
        </w:rPr>
        <w:t>Conformity assessment - Requirements for the accreditation bodies accrediting conformity assessment bodies</w:t>
      </w:r>
    </w:p>
    <w:p w:rsidR="00B4171D" w:rsidRPr="001D5158" w:rsidRDefault="00BB6265" w:rsidP="00646822">
      <w:pPr>
        <w:numPr>
          <w:ilvl w:val="0"/>
          <w:numId w:val="17"/>
        </w:numPr>
        <w:spacing w:before="120" w:after="0" w:line="240" w:lineRule="auto"/>
        <w:ind w:left="714" w:hanging="357"/>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ISO/IEC 17025:</w:t>
      </w:r>
      <w:r w:rsidR="007960D8">
        <w:rPr>
          <w:rFonts w:asciiTheme="majorBidi" w:eastAsia="Calibri" w:hAnsiTheme="majorBidi" w:cstheme="majorBidi"/>
          <w:color w:val="000000" w:themeColor="text1"/>
          <w:sz w:val="24"/>
          <w:szCs w:val="24"/>
          <w:lang w:val="en-US"/>
        </w:rPr>
        <w:t>2017</w:t>
      </w:r>
      <w:r w:rsidRPr="001D5158">
        <w:rPr>
          <w:rFonts w:asciiTheme="majorBidi" w:eastAsia="Calibri" w:hAnsiTheme="majorBidi" w:cstheme="majorBidi"/>
          <w:color w:val="000000" w:themeColor="text1"/>
          <w:sz w:val="24"/>
          <w:szCs w:val="24"/>
          <w:lang w:val="en-US"/>
        </w:rPr>
        <w:t xml:space="preserve"> General requirements </w:t>
      </w:r>
      <w:r w:rsidR="00CF1A33">
        <w:rPr>
          <w:rFonts w:asciiTheme="majorBidi" w:eastAsia="Calibri" w:hAnsiTheme="majorBidi" w:cstheme="majorBidi"/>
          <w:color w:val="000000" w:themeColor="text1"/>
          <w:sz w:val="24"/>
          <w:szCs w:val="24"/>
          <w:lang w:val="en-US"/>
        </w:rPr>
        <w:t>for the</w:t>
      </w:r>
      <w:r w:rsidR="00CF1A33" w:rsidRPr="001D5158">
        <w:rPr>
          <w:rFonts w:asciiTheme="majorBidi" w:eastAsia="Calibri" w:hAnsiTheme="majorBidi" w:cstheme="majorBidi"/>
          <w:color w:val="000000" w:themeColor="text1"/>
          <w:sz w:val="24"/>
          <w:szCs w:val="24"/>
          <w:lang w:val="en-US"/>
        </w:rPr>
        <w:t xml:space="preserve"> </w:t>
      </w:r>
      <w:r w:rsidRPr="001D5158">
        <w:rPr>
          <w:rFonts w:asciiTheme="majorBidi" w:eastAsia="Calibri" w:hAnsiTheme="majorBidi" w:cstheme="majorBidi"/>
          <w:color w:val="000000" w:themeColor="text1"/>
          <w:sz w:val="24"/>
          <w:szCs w:val="24"/>
          <w:lang w:val="en-US"/>
        </w:rPr>
        <w:t>competences of testing and calibration laboratories</w:t>
      </w:r>
    </w:p>
    <w:p w:rsidR="00BB6265" w:rsidRDefault="00B4171D" w:rsidP="00CF1A33">
      <w:pPr>
        <w:pStyle w:val="NormalWeb"/>
        <w:numPr>
          <w:ilvl w:val="0"/>
          <w:numId w:val="17"/>
        </w:numPr>
        <w:spacing w:before="120" w:beforeAutospacing="0" w:after="0" w:afterAutospacing="0"/>
        <w:ind w:left="714" w:hanging="357"/>
        <w:jc w:val="both"/>
        <w:rPr>
          <w:rStyle w:val="hps"/>
          <w:rFonts w:asciiTheme="majorBidi" w:hAnsiTheme="majorBidi" w:cstheme="majorBidi"/>
          <w:color w:val="000000" w:themeColor="text1"/>
          <w:lang w:val="en-GB"/>
        </w:rPr>
      </w:pPr>
      <w:r w:rsidRPr="001D5158">
        <w:rPr>
          <w:rStyle w:val="hps"/>
          <w:rFonts w:asciiTheme="majorBidi" w:hAnsiTheme="majorBidi" w:cstheme="majorBidi"/>
          <w:color w:val="000000" w:themeColor="text1"/>
          <w:lang w:val="en-GB"/>
        </w:rPr>
        <w:t xml:space="preserve">ISO/IEC 17020:2012 </w:t>
      </w:r>
      <w:r w:rsidR="00FA2E99">
        <w:rPr>
          <w:rStyle w:val="hps"/>
          <w:rFonts w:asciiTheme="majorBidi" w:hAnsiTheme="majorBidi" w:cstheme="majorBidi"/>
          <w:color w:val="000000" w:themeColor="text1"/>
          <w:lang w:val="en-GB"/>
        </w:rPr>
        <w:t xml:space="preserve">Conformity assessment - </w:t>
      </w:r>
      <w:r w:rsidRPr="001D5158">
        <w:rPr>
          <w:rStyle w:val="hps"/>
          <w:rFonts w:asciiTheme="majorBidi" w:hAnsiTheme="majorBidi" w:cstheme="majorBidi"/>
          <w:color w:val="000000" w:themeColor="text1"/>
          <w:lang w:val="en-GB"/>
        </w:rPr>
        <w:t>Requirements for the operation of various types of bodies performing inspection</w:t>
      </w:r>
    </w:p>
    <w:p w:rsidR="00CF1A33" w:rsidRPr="001D5158" w:rsidRDefault="00CF1A33" w:rsidP="00646822">
      <w:pPr>
        <w:pStyle w:val="NormalWeb"/>
        <w:numPr>
          <w:ilvl w:val="0"/>
          <w:numId w:val="17"/>
        </w:numPr>
        <w:spacing w:before="120" w:beforeAutospacing="0" w:after="0" w:afterAutospacing="0"/>
        <w:ind w:left="714" w:hanging="357"/>
        <w:jc w:val="both"/>
        <w:rPr>
          <w:rFonts w:asciiTheme="majorBidi" w:hAnsiTheme="majorBidi" w:cstheme="majorBidi"/>
          <w:color w:val="000000" w:themeColor="text1"/>
          <w:lang w:val="en-GB"/>
        </w:rPr>
      </w:pPr>
      <w:r>
        <w:rPr>
          <w:rFonts w:asciiTheme="majorBidi" w:eastAsia="Calibri" w:hAnsiTheme="majorBidi" w:cstheme="majorBidi"/>
          <w:color w:val="000000" w:themeColor="text1"/>
        </w:rPr>
        <w:t xml:space="preserve">ISO/IEC 17034:2016 </w:t>
      </w:r>
      <w:r w:rsidRPr="001D5158">
        <w:rPr>
          <w:rFonts w:asciiTheme="majorBidi" w:eastAsia="Calibri" w:hAnsiTheme="majorBidi" w:cstheme="majorBidi"/>
          <w:color w:val="000000" w:themeColor="text1"/>
        </w:rPr>
        <w:t xml:space="preserve">General </w:t>
      </w:r>
      <w:r>
        <w:rPr>
          <w:rFonts w:asciiTheme="majorBidi" w:eastAsia="Calibri" w:hAnsiTheme="majorBidi" w:cstheme="majorBidi"/>
          <w:color w:val="000000" w:themeColor="text1"/>
        </w:rPr>
        <w:t>r</w:t>
      </w:r>
      <w:r w:rsidRPr="001D5158">
        <w:rPr>
          <w:rFonts w:asciiTheme="majorBidi" w:eastAsia="Calibri" w:hAnsiTheme="majorBidi" w:cstheme="majorBidi"/>
          <w:color w:val="000000" w:themeColor="text1"/>
        </w:rPr>
        <w:t xml:space="preserve">equirements for the </w:t>
      </w:r>
      <w:r>
        <w:rPr>
          <w:rFonts w:asciiTheme="majorBidi" w:eastAsia="Calibri" w:hAnsiTheme="majorBidi" w:cstheme="majorBidi"/>
          <w:color w:val="000000" w:themeColor="text1"/>
        </w:rPr>
        <w:t>c</w:t>
      </w:r>
      <w:r w:rsidRPr="001D5158">
        <w:rPr>
          <w:rFonts w:asciiTheme="majorBidi" w:eastAsia="Calibri" w:hAnsiTheme="majorBidi" w:cstheme="majorBidi"/>
          <w:color w:val="000000" w:themeColor="text1"/>
        </w:rPr>
        <w:t xml:space="preserve">ompetence of </w:t>
      </w:r>
      <w:r>
        <w:rPr>
          <w:rFonts w:asciiTheme="majorBidi" w:eastAsia="Calibri" w:hAnsiTheme="majorBidi" w:cstheme="majorBidi"/>
          <w:color w:val="000000" w:themeColor="text1"/>
        </w:rPr>
        <w:t>r</w:t>
      </w:r>
      <w:r w:rsidRPr="001D5158">
        <w:rPr>
          <w:rFonts w:asciiTheme="majorBidi" w:eastAsia="Calibri" w:hAnsiTheme="majorBidi" w:cstheme="majorBidi"/>
          <w:color w:val="000000" w:themeColor="text1"/>
        </w:rPr>
        <w:t xml:space="preserve">eference </w:t>
      </w:r>
      <w:r>
        <w:rPr>
          <w:rFonts w:asciiTheme="majorBidi" w:eastAsia="Calibri" w:hAnsiTheme="majorBidi" w:cstheme="majorBidi"/>
          <w:color w:val="000000" w:themeColor="text1"/>
        </w:rPr>
        <w:t>m</w:t>
      </w:r>
      <w:r w:rsidRPr="001D5158">
        <w:rPr>
          <w:rFonts w:asciiTheme="majorBidi" w:eastAsia="Calibri" w:hAnsiTheme="majorBidi" w:cstheme="majorBidi"/>
          <w:color w:val="000000" w:themeColor="text1"/>
        </w:rPr>
        <w:t xml:space="preserve">aterial </w:t>
      </w:r>
      <w:r>
        <w:rPr>
          <w:rFonts w:asciiTheme="majorBidi" w:eastAsia="Calibri" w:hAnsiTheme="majorBidi" w:cstheme="majorBidi"/>
          <w:color w:val="000000" w:themeColor="text1"/>
        </w:rPr>
        <w:t>p</w:t>
      </w:r>
      <w:r w:rsidRPr="001D5158">
        <w:rPr>
          <w:rFonts w:asciiTheme="majorBidi" w:eastAsia="Calibri" w:hAnsiTheme="majorBidi" w:cstheme="majorBidi"/>
          <w:color w:val="000000" w:themeColor="text1"/>
        </w:rPr>
        <w:t>roducers</w:t>
      </w:r>
    </w:p>
    <w:p w:rsidR="00CF1A33" w:rsidRPr="001D5158" w:rsidRDefault="00CF1A33" w:rsidP="00646822">
      <w:pPr>
        <w:numPr>
          <w:ilvl w:val="0"/>
          <w:numId w:val="17"/>
        </w:numPr>
        <w:spacing w:before="120" w:after="0" w:line="240" w:lineRule="auto"/>
        <w:ind w:left="714" w:hanging="357"/>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ILAC P10:2013 ILAC Policy on Traceability of measurement results</w:t>
      </w:r>
      <w:r>
        <w:rPr>
          <w:rFonts w:asciiTheme="majorBidi" w:eastAsia="Calibri" w:hAnsiTheme="majorBidi" w:cstheme="majorBidi"/>
          <w:color w:val="000000" w:themeColor="text1"/>
          <w:sz w:val="24"/>
          <w:szCs w:val="24"/>
          <w:lang w:val="en-US"/>
        </w:rPr>
        <w:t>.</w:t>
      </w:r>
    </w:p>
    <w:p w:rsidR="00D0482D" w:rsidRPr="001D5158" w:rsidRDefault="00D0482D" w:rsidP="00E46310">
      <w:pPr>
        <w:spacing w:after="0" w:line="240" w:lineRule="auto"/>
        <w:jc w:val="both"/>
        <w:rPr>
          <w:rFonts w:asciiTheme="majorBidi" w:eastAsia="Calibri" w:hAnsiTheme="majorBidi" w:cstheme="majorBidi"/>
          <w:color w:val="000000" w:themeColor="text1"/>
          <w:sz w:val="24"/>
          <w:szCs w:val="24"/>
          <w:lang w:val="en-US"/>
        </w:rPr>
      </w:pPr>
    </w:p>
    <w:p w:rsidR="00EF0C98" w:rsidRPr="00994B1E" w:rsidRDefault="005F28AE" w:rsidP="00994B1E">
      <w:pPr>
        <w:pStyle w:val="Heading1"/>
        <w:rPr>
          <w:rFonts w:ascii="Times New Roman" w:hAnsi="Times New Roman" w:cs="Times New Roman"/>
          <w:color w:val="000000" w:themeColor="text1"/>
          <w:sz w:val="24"/>
          <w:szCs w:val="24"/>
        </w:rPr>
      </w:pPr>
      <w:bookmarkStart w:id="3" w:name="_Toc24979658"/>
      <w:r w:rsidRPr="00994B1E">
        <w:rPr>
          <w:rFonts w:ascii="Times New Roman" w:hAnsi="Times New Roman" w:cs="Times New Roman"/>
          <w:color w:val="000000" w:themeColor="text1"/>
          <w:sz w:val="24"/>
          <w:szCs w:val="24"/>
        </w:rPr>
        <w:t xml:space="preserve">3. </w:t>
      </w:r>
      <w:r w:rsidR="00207EF5" w:rsidRPr="00994B1E">
        <w:rPr>
          <w:rFonts w:ascii="Times New Roman" w:hAnsi="Times New Roman" w:cs="Times New Roman"/>
          <w:color w:val="000000" w:themeColor="text1"/>
          <w:sz w:val="24"/>
          <w:szCs w:val="24"/>
        </w:rPr>
        <w:t>RESPONSIBILITIES</w:t>
      </w:r>
      <w:bookmarkEnd w:id="3"/>
    </w:p>
    <w:p w:rsidR="00CF1A33" w:rsidRDefault="00CF1A33" w:rsidP="00207EF5">
      <w:pPr>
        <w:spacing w:after="0" w:line="240" w:lineRule="auto"/>
        <w:jc w:val="both"/>
        <w:rPr>
          <w:rFonts w:ascii="Times New Roman" w:eastAsia="Calibri" w:hAnsi="Times New Roman" w:cs="Times New Roman"/>
          <w:sz w:val="24"/>
          <w:szCs w:val="24"/>
          <w:lang w:val="en-GB"/>
        </w:rPr>
      </w:pPr>
    </w:p>
    <w:p w:rsidR="00CF1A33" w:rsidRDefault="00207EF5" w:rsidP="00207EF5">
      <w:pPr>
        <w:spacing w:after="0" w:line="240" w:lineRule="auto"/>
        <w:jc w:val="both"/>
        <w:rPr>
          <w:rFonts w:ascii="Times New Roman" w:eastAsia="Calibri" w:hAnsi="Times New Roman" w:cs="Times New Roman"/>
          <w:sz w:val="24"/>
          <w:szCs w:val="24"/>
          <w:lang w:val="en-GB"/>
        </w:rPr>
      </w:pPr>
      <w:r w:rsidRPr="007E2B32">
        <w:rPr>
          <w:rFonts w:ascii="Times New Roman" w:eastAsia="Calibri" w:hAnsi="Times New Roman" w:cs="Times New Roman"/>
          <w:sz w:val="24"/>
          <w:szCs w:val="24"/>
          <w:lang w:val="en-GB"/>
        </w:rPr>
        <w:t xml:space="preserve">This policy is mandatory and </w:t>
      </w:r>
      <w:r>
        <w:rPr>
          <w:rFonts w:ascii="Times New Roman" w:eastAsia="Calibri" w:hAnsi="Times New Roman" w:cs="Times New Roman"/>
          <w:sz w:val="24"/>
          <w:szCs w:val="24"/>
          <w:lang w:val="en-GB"/>
        </w:rPr>
        <w:t>applies to all</w:t>
      </w:r>
      <w:r w:rsidRPr="007E2B32">
        <w:rPr>
          <w:rFonts w:ascii="Times New Roman" w:eastAsia="Calibri" w:hAnsi="Times New Roman" w:cs="Times New Roman"/>
          <w:sz w:val="24"/>
          <w:szCs w:val="24"/>
          <w:lang w:val="en-GB"/>
        </w:rPr>
        <w:t xml:space="preserve"> DAK internal and external personnel involved in accreditation</w:t>
      </w:r>
      <w:r w:rsidR="00CF1A33">
        <w:rPr>
          <w:rFonts w:ascii="Times New Roman" w:eastAsia="Calibri" w:hAnsi="Times New Roman" w:cs="Times New Roman"/>
          <w:sz w:val="24"/>
          <w:szCs w:val="24"/>
          <w:lang w:val="en-GB"/>
        </w:rPr>
        <w:t xml:space="preserve"> (</w:t>
      </w:r>
      <w:r w:rsidRPr="007E2B32">
        <w:rPr>
          <w:rFonts w:ascii="Times New Roman" w:eastAsia="Calibri" w:hAnsi="Times New Roman" w:cs="Times New Roman"/>
          <w:sz w:val="24"/>
          <w:szCs w:val="24"/>
          <w:lang w:val="en-GB"/>
        </w:rPr>
        <w:t xml:space="preserve">such as </w:t>
      </w:r>
      <w:r>
        <w:rPr>
          <w:rFonts w:ascii="Times New Roman" w:eastAsia="Calibri" w:hAnsi="Times New Roman" w:cs="Times New Roman"/>
          <w:sz w:val="24"/>
          <w:szCs w:val="24"/>
          <w:lang w:val="en-GB"/>
        </w:rPr>
        <w:t xml:space="preserve">DAK’s staff, </w:t>
      </w:r>
      <w:r w:rsidRPr="007E2B32">
        <w:rPr>
          <w:rFonts w:ascii="Times New Roman" w:eastAsia="Calibri" w:hAnsi="Times New Roman" w:cs="Times New Roman"/>
          <w:sz w:val="24"/>
          <w:szCs w:val="24"/>
          <w:lang w:val="en-GB"/>
        </w:rPr>
        <w:t>PC</w:t>
      </w:r>
      <w:r>
        <w:rPr>
          <w:rFonts w:ascii="Times New Roman" w:eastAsia="Calibri" w:hAnsi="Times New Roman" w:cs="Times New Roman"/>
          <w:sz w:val="24"/>
          <w:szCs w:val="24"/>
          <w:lang w:val="en-GB"/>
        </w:rPr>
        <w:t xml:space="preserve">, </w:t>
      </w:r>
      <w:r w:rsidRPr="007E2B32">
        <w:rPr>
          <w:rFonts w:ascii="Times New Roman" w:eastAsia="Calibri" w:hAnsi="Times New Roman" w:cs="Times New Roman"/>
          <w:sz w:val="24"/>
          <w:szCs w:val="24"/>
          <w:lang w:val="en-GB"/>
        </w:rPr>
        <w:t>AC</w:t>
      </w:r>
      <w:r>
        <w:rPr>
          <w:rFonts w:ascii="Times New Roman" w:eastAsia="Calibri" w:hAnsi="Times New Roman" w:cs="Times New Roman"/>
          <w:sz w:val="24"/>
          <w:szCs w:val="24"/>
          <w:lang w:val="en-GB"/>
        </w:rPr>
        <w:t xml:space="preserve">, </w:t>
      </w:r>
      <w:r w:rsidRPr="007E2B32">
        <w:rPr>
          <w:rFonts w:ascii="Times New Roman" w:eastAsia="Calibri" w:hAnsi="Times New Roman" w:cs="Times New Roman"/>
          <w:sz w:val="24"/>
          <w:szCs w:val="24"/>
          <w:lang w:val="en-GB"/>
        </w:rPr>
        <w:t xml:space="preserve">TC and </w:t>
      </w:r>
      <w:r>
        <w:rPr>
          <w:rFonts w:ascii="Times New Roman" w:eastAsia="Calibri" w:hAnsi="Times New Roman" w:cs="Times New Roman"/>
          <w:sz w:val="24"/>
          <w:szCs w:val="24"/>
          <w:lang w:val="en-GB"/>
        </w:rPr>
        <w:t>assessors and experts</w:t>
      </w:r>
      <w:r w:rsidR="00CF1A33">
        <w:rPr>
          <w:rFonts w:ascii="Times New Roman" w:eastAsia="Calibri" w:hAnsi="Times New Roman" w:cs="Times New Roman"/>
          <w:sz w:val="24"/>
          <w:szCs w:val="24"/>
          <w:lang w:val="en-GB"/>
        </w:rPr>
        <w:t>) and CABs accredited or seeking accreditation</w:t>
      </w:r>
      <w:r w:rsidR="00CF1A33" w:rsidRPr="00CF1A33">
        <w:rPr>
          <w:rFonts w:ascii="Times New Roman" w:eastAsia="Calibri" w:hAnsi="Times New Roman" w:cs="Times New Roman"/>
          <w:sz w:val="24"/>
          <w:szCs w:val="24"/>
          <w:lang w:val="en-GB"/>
        </w:rPr>
        <w:t xml:space="preserve"> </w:t>
      </w:r>
      <w:r w:rsidR="00CF1A33">
        <w:rPr>
          <w:rFonts w:ascii="Times New Roman" w:eastAsia="Calibri" w:hAnsi="Times New Roman" w:cs="Times New Roman"/>
          <w:sz w:val="24"/>
          <w:szCs w:val="24"/>
          <w:lang w:val="en-GB"/>
        </w:rPr>
        <w:t>by DAK.</w:t>
      </w:r>
    </w:p>
    <w:p w:rsidR="00207EF5" w:rsidRDefault="00207EF5" w:rsidP="00207EF5">
      <w:pPr>
        <w:spacing w:after="0" w:line="240" w:lineRule="auto"/>
        <w:jc w:val="both"/>
        <w:rPr>
          <w:rFonts w:ascii="Times New Roman" w:eastAsia="Calibri" w:hAnsi="Times New Roman" w:cs="Times New Roman"/>
          <w:sz w:val="24"/>
          <w:szCs w:val="24"/>
          <w:lang w:val="en-GB"/>
        </w:rPr>
      </w:pPr>
    </w:p>
    <w:p w:rsidR="00CF1A33" w:rsidRPr="00E565CA" w:rsidRDefault="00CF1A33" w:rsidP="00CF1A33">
      <w:pPr>
        <w:spacing w:after="0" w:line="240" w:lineRule="auto"/>
        <w:jc w:val="both"/>
        <w:rPr>
          <w:rFonts w:asciiTheme="majorBidi" w:eastAsia="Calibri" w:hAnsiTheme="majorBidi" w:cstheme="majorBidi"/>
          <w:color w:val="000000" w:themeColor="text1"/>
          <w:sz w:val="24"/>
          <w:szCs w:val="24"/>
          <w:lang w:val="en-US"/>
        </w:rPr>
      </w:pPr>
      <w:r w:rsidRPr="00E565CA">
        <w:rPr>
          <w:rFonts w:asciiTheme="majorBidi" w:eastAsia="Calibri" w:hAnsiTheme="majorBidi" w:cstheme="majorBidi"/>
          <w:color w:val="000000" w:themeColor="text1"/>
          <w:sz w:val="24"/>
          <w:szCs w:val="24"/>
          <w:lang w:val="en-US"/>
        </w:rPr>
        <w:t>This policy applies to all equipment used in laboratories, accredited/</w:t>
      </w:r>
      <w:r>
        <w:rPr>
          <w:rFonts w:asciiTheme="majorBidi" w:eastAsia="Calibri" w:hAnsiTheme="majorBidi" w:cstheme="majorBidi"/>
          <w:color w:val="000000" w:themeColor="text1"/>
          <w:sz w:val="24"/>
          <w:szCs w:val="24"/>
          <w:lang w:val="en-US"/>
        </w:rPr>
        <w:t>seeking</w:t>
      </w:r>
      <w:r w:rsidRPr="00E565CA">
        <w:rPr>
          <w:rFonts w:asciiTheme="majorBidi" w:eastAsia="Calibri" w:hAnsiTheme="majorBidi" w:cstheme="majorBidi"/>
          <w:color w:val="000000" w:themeColor="text1"/>
          <w:sz w:val="24"/>
          <w:szCs w:val="24"/>
          <w:lang w:val="en-US"/>
        </w:rPr>
        <w:t xml:space="preserve"> accredit</w:t>
      </w:r>
      <w:r>
        <w:rPr>
          <w:rFonts w:asciiTheme="majorBidi" w:eastAsia="Calibri" w:hAnsiTheme="majorBidi" w:cstheme="majorBidi"/>
          <w:color w:val="000000" w:themeColor="text1"/>
          <w:sz w:val="24"/>
          <w:szCs w:val="24"/>
          <w:lang w:val="en-US"/>
        </w:rPr>
        <w:t>ation</w:t>
      </w:r>
      <w:r w:rsidRPr="00E565CA">
        <w:rPr>
          <w:rFonts w:asciiTheme="majorBidi" w:eastAsia="Calibri" w:hAnsiTheme="majorBidi" w:cstheme="majorBidi"/>
          <w:color w:val="000000" w:themeColor="text1"/>
          <w:sz w:val="24"/>
          <w:szCs w:val="24"/>
          <w:lang w:val="en-US"/>
        </w:rPr>
        <w:t xml:space="preserve"> by </w:t>
      </w:r>
      <w:r>
        <w:rPr>
          <w:rFonts w:asciiTheme="majorBidi" w:eastAsia="Calibri" w:hAnsiTheme="majorBidi" w:cstheme="majorBidi"/>
          <w:color w:val="000000" w:themeColor="text1"/>
          <w:sz w:val="24"/>
          <w:szCs w:val="24"/>
          <w:lang w:val="en-US"/>
        </w:rPr>
        <w:t>DAK</w:t>
      </w:r>
      <w:r w:rsidRPr="00E565CA">
        <w:rPr>
          <w:rFonts w:asciiTheme="majorBidi" w:eastAsia="Calibri" w:hAnsiTheme="majorBidi" w:cstheme="majorBidi"/>
          <w:color w:val="000000" w:themeColor="text1"/>
          <w:sz w:val="24"/>
          <w:szCs w:val="24"/>
          <w:lang w:val="en-US"/>
        </w:rPr>
        <w:t xml:space="preserve"> and with significant influence on the accuracy and reliability of results of testing, calibration or sampling.  </w:t>
      </w:r>
    </w:p>
    <w:p w:rsidR="00CF1A33" w:rsidRPr="00E565CA" w:rsidRDefault="00CF1A33" w:rsidP="00CF1A33">
      <w:pPr>
        <w:spacing w:after="0" w:line="240" w:lineRule="auto"/>
        <w:jc w:val="both"/>
        <w:rPr>
          <w:rFonts w:asciiTheme="majorBidi" w:eastAsia="Calibri" w:hAnsiTheme="majorBidi" w:cstheme="majorBidi"/>
          <w:color w:val="000000" w:themeColor="text1"/>
          <w:sz w:val="24"/>
          <w:szCs w:val="24"/>
          <w:lang w:val="en-US"/>
        </w:rPr>
      </w:pPr>
    </w:p>
    <w:p w:rsidR="00207EF5" w:rsidRDefault="00CF1A33" w:rsidP="005341B9">
      <w:pPr>
        <w:spacing w:after="0" w:line="240" w:lineRule="auto"/>
        <w:jc w:val="both"/>
        <w:rPr>
          <w:rFonts w:asciiTheme="majorBidi" w:eastAsia="Calibri" w:hAnsiTheme="majorBidi" w:cstheme="majorBidi"/>
          <w:color w:val="000000" w:themeColor="text1"/>
          <w:sz w:val="24"/>
          <w:szCs w:val="24"/>
          <w:lang w:val="en-US"/>
        </w:rPr>
      </w:pPr>
      <w:r w:rsidRPr="00E565CA">
        <w:rPr>
          <w:rFonts w:asciiTheme="majorBidi" w:eastAsia="Calibri" w:hAnsiTheme="majorBidi" w:cstheme="majorBidi"/>
          <w:color w:val="000000" w:themeColor="text1"/>
          <w:sz w:val="24"/>
          <w:szCs w:val="24"/>
          <w:lang w:val="en-US"/>
        </w:rPr>
        <w:t>It can also be applied to other CABs with involvement of in testing and/or calibration activities (inspection and certification bodies).</w:t>
      </w:r>
    </w:p>
    <w:p w:rsidR="005341B9" w:rsidRPr="005341B9" w:rsidRDefault="005341B9" w:rsidP="005341B9">
      <w:pPr>
        <w:spacing w:after="0" w:line="240" w:lineRule="auto"/>
        <w:jc w:val="both"/>
        <w:rPr>
          <w:rFonts w:asciiTheme="majorBidi" w:eastAsia="Calibri" w:hAnsiTheme="majorBidi" w:cstheme="majorBidi"/>
          <w:color w:val="000000" w:themeColor="text1"/>
          <w:sz w:val="24"/>
          <w:szCs w:val="24"/>
          <w:lang w:val="en-US"/>
        </w:rPr>
      </w:pPr>
    </w:p>
    <w:p w:rsidR="008354D0" w:rsidRPr="00E5158A" w:rsidRDefault="008354D0" w:rsidP="00E5158A">
      <w:pPr>
        <w:pStyle w:val="Heading1"/>
        <w:rPr>
          <w:rFonts w:ascii="Times New Roman" w:eastAsiaTheme="minorHAnsi" w:hAnsi="Times New Roman" w:cs="Times New Roman"/>
          <w:color w:val="000000" w:themeColor="text1"/>
          <w:sz w:val="24"/>
          <w:szCs w:val="24"/>
          <w:lang w:val="en-US"/>
        </w:rPr>
      </w:pPr>
      <w:bookmarkStart w:id="4" w:name="_Toc24979659"/>
      <w:r w:rsidRPr="00E5158A">
        <w:rPr>
          <w:rFonts w:ascii="Times New Roman" w:eastAsiaTheme="minorHAnsi" w:hAnsi="Times New Roman" w:cs="Times New Roman"/>
          <w:color w:val="000000" w:themeColor="text1"/>
          <w:sz w:val="24"/>
          <w:szCs w:val="24"/>
          <w:lang w:val="en-US"/>
        </w:rPr>
        <w:t>4. GLOSSARY AND ABBREVIATIONS</w:t>
      </w:r>
      <w:bookmarkEnd w:id="4"/>
    </w:p>
    <w:p w:rsidR="008354D0" w:rsidRPr="002F48ED" w:rsidRDefault="008354D0" w:rsidP="002F48ED">
      <w:pPr>
        <w:pStyle w:val="Heading2"/>
        <w:rPr>
          <w:rFonts w:ascii="Times New Roman" w:eastAsiaTheme="minorHAnsi" w:hAnsi="Times New Roman" w:cs="Times New Roman"/>
          <w:b/>
          <w:color w:val="000000" w:themeColor="text1"/>
          <w:sz w:val="24"/>
          <w:szCs w:val="24"/>
          <w:lang w:val="en-US"/>
        </w:rPr>
      </w:pPr>
      <w:bookmarkStart w:id="5" w:name="_Toc24979660"/>
      <w:r w:rsidRPr="002F48ED">
        <w:rPr>
          <w:rFonts w:ascii="Times New Roman" w:eastAsiaTheme="minorHAnsi" w:hAnsi="Times New Roman" w:cs="Times New Roman"/>
          <w:b/>
          <w:color w:val="000000" w:themeColor="text1"/>
          <w:sz w:val="24"/>
          <w:szCs w:val="24"/>
          <w:lang w:val="en-US"/>
        </w:rPr>
        <w:t>4.1 Glossary</w:t>
      </w:r>
      <w:bookmarkEnd w:id="5"/>
    </w:p>
    <w:p w:rsidR="008354D0" w:rsidRDefault="008354D0" w:rsidP="008354D0">
      <w:pPr>
        <w:spacing w:after="0" w:line="240" w:lineRule="auto"/>
        <w:jc w:val="both"/>
        <w:rPr>
          <w:rFonts w:ascii="Times New Roman" w:hAnsi="Times New Roman" w:cs="Times New Roman"/>
          <w:sz w:val="24"/>
          <w:szCs w:val="24"/>
          <w:lang w:val="en-GB"/>
        </w:rPr>
      </w:pPr>
      <w:r w:rsidRPr="00A47691">
        <w:rPr>
          <w:rFonts w:ascii="Times New Roman" w:hAnsi="Times New Roman" w:cs="Times New Roman"/>
          <w:sz w:val="24"/>
          <w:szCs w:val="24"/>
          <w:lang w:val="en-GB"/>
        </w:rPr>
        <w:t xml:space="preserve">For the purpose of this </w:t>
      </w:r>
      <w:r w:rsidRPr="007672D6">
        <w:rPr>
          <w:rFonts w:ascii="Times New Roman" w:hAnsi="Times New Roman" w:cs="Times New Roman"/>
          <w:sz w:val="24"/>
          <w:szCs w:val="24"/>
          <w:lang w:val="en-GB"/>
        </w:rPr>
        <w:t xml:space="preserve">Policy the terms and definitions given in the standard ISO/IEC 17011:2017 apply. </w:t>
      </w:r>
    </w:p>
    <w:p w:rsidR="008354D0" w:rsidRDefault="008354D0" w:rsidP="00646822">
      <w:pPr>
        <w:rPr>
          <w:lang w:val="en-US"/>
        </w:rPr>
      </w:pPr>
    </w:p>
    <w:p w:rsidR="008354D0" w:rsidRPr="00F65E7A" w:rsidRDefault="008354D0" w:rsidP="00F65E7A">
      <w:pPr>
        <w:pStyle w:val="Heading2"/>
        <w:rPr>
          <w:rFonts w:ascii="Times New Roman" w:eastAsiaTheme="minorHAnsi" w:hAnsi="Times New Roman" w:cs="Times New Roman"/>
          <w:b/>
          <w:color w:val="000000" w:themeColor="text1"/>
          <w:sz w:val="24"/>
          <w:szCs w:val="24"/>
          <w:lang w:val="en-US"/>
        </w:rPr>
      </w:pPr>
      <w:bookmarkStart w:id="6" w:name="_Toc24979661"/>
      <w:r w:rsidRPr="00F65E7A">
        <w:rPr>
          <w:rFonts w:ascii="Times New Roman" w:eastAsiaTheme="minorHAnsi" w:hAnsi="Times New Roman" w:cs="Times New Roman"/>
          <w:b/>
          <w:color w:val="000000" w:themeColor="text1"/>
          <w:sz w:val="24"/>
          <w:szCs w:val="24"/>
          <w:lang w:val="en-US"/>
        </w:rPr>
        <w:t>4.2 Abbreviations</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087"/>
      </w:tblGrid>
      <w:tr w:rsidR="008354D0" w:rsidRPr="00DE678A" w:rsidTr="007E2B32">
        <w:tc>
          <w:tcPr>
            <w:tcW w:w="2122" w:type="dxa"/>
          </w:tcPr>
          <w:p w:rsidR="00CF1A33" w:rsidRDefault="00CF1A33"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AC</w:t>
            </w:r>
          </w:p>
          <w:p w:rsidR="00CF1A33" w:rsidRDefault="00CF1A33"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lastRenderedPageBreak/>
              <w:t>BIPM</w:t>
            </w:r>
          </w:p>
          <w:p w:rsidR="00CF1A33" w:rsidRDefault="00CF1A33"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BIPM KCDB</w:t>
            </w:r>
          </w:p>
          <w:p w:rsidR="008354D0" w:rsidRPr="00DE678A" w:rsidRDefault="008354D0" w:rsidP="007E2B32">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CAB</w:t>
            </w:r>
          </w:p>
        </w:tc>
        <w:tc>
          <w:tcPr>
            <w:tcW w:w="7087" w:type="dxa"/>
          </w:tcPr>
          <w:p w:rsidR="00CF1A33" w:rsidRDefault="00CF1A33" w:rsidP="00CF1A33">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lastRenderedPageBreak/>
              <w:t>Accreditation Council</w:t>
            </w:r>
          </w:p>
          <w:p w:rsidR="00CF1A33" w:rsidRPr="00646822" w:rsidRDefault="00CF05EA" w:rsidP="007E2B32">
            <w:pPr>
              <w:tabs>
                <w:tab w:val="left" w:pos="567"/>
              </w:tabs>
              <w:rPr>
                <w:rFonts w:ascii="Times New Roman" w:hAnsi="Times New Roman" w:cs="Times New Roman"/>
                <w:sz w:val="24"/>
                <w:szCs w:val="24"/>
                <w:lang w:val="fr-FR"/>
              </w:rPr>
            </w:pPr>
            <w:r w:rsidRPr="00646822">
              <w:rPr>
                <w:rFonts w:ascii="Times New Roman" w:hAnsi="Times New Roman" w:cs="Times New Roman"/>
                <w:sz w:val="24"/>
                <w:szCs w:val="24"/>
                <w:lang w:val="fr-FR"/>
              </w:rPr>
              <w:lastRenderedPageBreak/>
              <w:t>Bureau International des Poids e</w:t>
            </w:r>
            <w:r>
              <w:rPr>
                <w:rFonts w:ascii="Times New Roman" w:hAnsi="Times New Roman" w:cs="Times New Roman"/>
                <w:sz w:val="24"/>
                <w:szCs w:val="24"/>
                <w:lang w:val="fr-FR"/>
              </w:rPr>
              <w:t>t Mesures</w:t>
            </w:r>
          </w:p>
          <w:p w:rsidR="00CF1A33" w:rsidRPr="00646822" w:rsidRDefault="00CF05EA" w:rsidP="007E2B32">
            <w:pPr>
              <w:tabs>
                <w:tab w:val="left" w:pos="567"/>
              </w:tabs>
              <w:rPr>
                <w:rFonts w:ascii="Times New Roman" w:hAnsi="Times New Roman" w:cs="Times New Roman"/>
                <w:sz w:val="24"/>
                <w:szCs w:val="24"/>
                <w:lang w:val="en-US"/>
              </w:rPr>
            </w:pPr>
            <w:r w:rsidRPr="00646822">
              <w:rPr>
                <w:rFonts w:ascii="Times New Roman" w:hAnsi="Times New Roman" w:cs="Times New Roman"/>
                <w:sz w:val="24"/>
                <w:szCs w:val="24"/>
                <w:lang w:val="en-US"/>
              </w:rPr>
              <w:t>Key compari</w:t>
            </w:r>
            <w:r>
              <w:rPr>
                <w:rFonts w:ascii="Times New Roman" w:hAnsi="Times New Roman" w:cs="Times New Roman"/>
                <w:sz w:val="24"/>
                <w:szCs w:val="24"/>
                <w:lang w:val="en-US"/>
              </w:rPr>
              <w:t>son database of BIPM</w:t>
            </w:r>
          </w:p>
          <w:p w:rsidR="008354D0" w:rsidRPr="00DE678A" w:rsidRDefault="008354D0" w:rsidP="007E2B32">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Conformity assessment body</w:t>
            </w:r>
          </w:p>
        </w:tc>
      </w:tr>
      <w:tr w:rsidR="008354D0" w:rsidRPr="00DE678A" w:rsidTr="007E2B32">
        <w:tc>
          <w:tcPr>
            <w:tcW w:w="2122" w:type="dxa"/>
          </w:tcPr>
          <w:p w:rsidR="00CF1A33" w:rsidRDefault="00CF1A33"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lastRenderedPageBreak/>
              <w:t>CIPM</w:t>
            </w:r>
          </w:p>
          <w:p w:rsidR="00CF1A33" w:rsidRDefault="00CF1A33"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CIPM MRA</w:t>
            </w:r>
          </w:p>
          <w:p w:rsidR="008354D0" w:rsidRPr="00DE678A" w:rsidRDefault="008354D0" w:rsidP="007E2B32">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DAK</w:t>
            </w:r>
          </w:p>
        </w:tc>
        <w:tc>
          <w:tcPr>
            <w:tcW w:w="7087" w:type="dxa"/>
          </w:tcPr>
          <w:p w:rsidR="00CF1A33" w:rsidRDefault="00CF05EA"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International Committee for Weights and Measures</w:t>
            </w:r>
          </w:p>
          <w:p w:rsidR="00CF1A33" w:rsidRDefault="00CF05EA"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Mutual Recognition Agreement of CIPM</w:t>
            </w:r>
          </w:p>
          <w:p w:rsidR="008354D0" w:rsidRPr="00DE678A" w:rsidRDefault="008354D0"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 xml:space="preserve">Kosovo </w:t>
            </w:r>
            <w:r w:rsidR="00CF1A33">
              <w:rPr>
                <w:rFonts w:ascii="Times New Roman" w:hAnsi="Times New Roman" w:cs="Times New Roman"/>
                <w:sz w:val="24"/>
                <w:szCs w:val="24"/>
                <w:lang w:val="en-GB"/>
              </w:rPr>
              <w:t xml:space="preserve">General </w:t>
            </w:r>
            <w:r>
              <w:rPr>
                <w:rFonts w:ascii="Times New Roman" w:hAnsi="Times New Roman" w:cs="Times New Roman"/>
                <w:sz w:val="24"/>
                <w:szCs w:val="24"/>
                <w:lang w:val="en-GB"/>
              </w:rPr>
              <w:t>Accreditation Director</w:t>
            </w:r>
            <w:r w:rsidR="00CF1A33">
              <w:rPr>
                <w:rFonts w:ascii="Times New Roman" w:hAnsi="Times New Roman" w:cs="Times New Roman"/>
                <w:sz w:val="24"/>
                <w:szCs w:val="24"/>
                <w:lang w:val="en-GB"/>
              </w:rPr>
              <w:t>ate</w:t>
            </w:r>
          </w:p>
        </w:tc>
      </w:tr>
      <w:tr w:rsidR="008354D0" w:rsidRPr="00DE678A" w:rsidTr="007E2B32">
        <w:tc>
          <w:tcPr>
            <w:tcW w:w="2122" w:type="dxa"/>
          </w:tcPr>
          <w:p w:rsidR="008354D0" w:rsidRDefault="008354D0" w:rsidP="007E2B32">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EA</w:t>
            </w:r>
          </w:p>
          <w:p w:rsidR="00CF1A33" w:rsidRPr="00DE678A" w:rsidRDefault="00CF1A33" w:rsidP="00CF05EA">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EA MLA/BLA</w:t>
            </w:r>
          </w:p>
        </w:tc>
        <w:tc>
          <w:tcPr>
            <w:tcW w:w="7087" w:type="dxa"/>
          </w:tcPr>
          <w:p w:rsidR="008354D0" w:rsidRDefault="008354D0" w:rsidP="007E2B32">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European co-operation for Accreditation</w:t>
            </w:r>
          </w:p>
          <w:p w:rsidR="00CF1A33" w:rsidRPr="00DE678A" w:rsidRDefault="00CF1A33"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Multilateral/Bilateral recognition Agreement of EA</w:t>
            </w:r>
          </w:p>
        </w:tc>
      </w:tr>
      <w:tr w:rsidR="008354D0" w:rsidRPr="00DE678A" w:rsidTr="007E2B32">
        <w:tc>
          <w:tcPr>
            <w:tcW w:w="2122" w:type="dxa"/>
          </w:tcPr>
          <w:p w:rsidR="008354D0" w:rsidRDefault="008354D0" w:rsidP="007E2B32">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ILAC</w:t>
            </w:r>
          </w:p>
          <w:p w:rsidR="00234447" w:rsidRPr="00DE678A" w:rsidRDefault="00234447" w:rsidP="00234447">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ILAC MRA</w:t>
            </w:r>
          </w:p>
        </w:tc>
        <w:tc>
          <w:tcPr>
            <w:tcW w:w="7087" w:type="dxa"/>
          </w:tcPr>
          <w:p w:rsidR="008354D0" w:rsidRDefault="008354D0" w:rsidP="007E2B32">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International Laboratory Accreditation Cooperation</w:t>
            </w:r>
          </w:p>
          <w:p w:rsidR="00234447" w:rsidRPr="00DE678A" w:rsidRDefault="00234447" w:rsidP="007E2B32">
            <w:pPr>
              <w:tabs>
                <w:tab w:val="left" w:pos="567"/>
              </w:tabs>
              <w:rPr>
                <w:rFonts w:ascii="Times New Roman" w:hAnsi="Times New Roman" w:cs="Times New Roman"/>
                <w:sz w:val="24"/>
                <w:szCs w:val="24"/>
                <w:lang w:val="en-GB"/>
              </w:rPr>
            </w:pPr>
            <w:r w:rsidRPr="00234447">
              <w:rPr>
                <w:rFonts w:ascii="Times New Roman" w:hAnsi="Times New Roman" w:cs="Times New Roman"/>
                <w:sz w:val="24"/>
                <w:szCs w:val="24"/>
                <w:lang w:val="en-GB"/>
              </w:rPr>
              <w:t>Mutual recognition arrangement of ILAC</w:t>
            </w:r>
          </w:p>
        </w:tc>
      </w:tr>
      <w:tr w:rsidR="008354D0" w:rsidRPr="00DE678A" w:rsidTr="007E2B32">
        <w:tc>
          <w:tcPr>
            <w:tcW w:w="2122" w:type="dxa"/>
          </w:tcPr>
          <w:p w:rsidR="00CF1A33" w:rsidRDefault="00CF1A33"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NMI</w:t>
            </w:r>
          </w:p>
          <w:p w:rsidR="008354D0" w:rsidRDefault="008354D0"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PC</w:t>
            </w:r>
          </w:p>
          <w:p w:rsidR="00CF1A33" w:rsidRDefault="00CF1A33"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SI</w:t>
            </w:r>
          </w:p>
          <w:p w:rsidR="008354D0" w:rsidRPr="00DE678A" w:rsidRDefault="008354D0">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TC</w:t>
            </w:r>
          </w:p>
        </w:tc>
        <w:tc>
          <w:tcPr>
            <w:tcW w:w="7087" w:type="dxa"/>
          </w:tcPr>
          <w:p w:rsidR="00CF1A33" w:rsidRDefault="00CF1A33"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National metrology institute</w:t>
            </w:r>
          </w:p>
          <w:p w:rsidR="008354D0" w:rsidRDefault="008354D0"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Professional Council</w:t>
            </w:r>
          </w:p>
          <w:p w:rsidR="00CF05EA" w:rsidRDefault="00CF05EA"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International System of Units</w:t>
            </w:r>
          </w:p>
          <w:p w:rsidR="008354D0" w:rsidRDefault="008354D0" w:rsidP="007E2B32">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Technical Committees</w:t>
            </w:r>
          </w:p>
          <w:p w:rsidR="008354D0" w:rsidRDefault="008354D0" w:rsidP="007E2B32">
            <w:pPr>
              <w:tabs>
                <w:tab w:val="left" w:pos="567"/>
              </w:tabs>
              <w:rPr>
                <w:rFonts w:ascii="Times New Roman" w:hAnsi="Times New Roman" w:cs="Times New Roman"/>
                <w:sz w:val="24"/>
                <w:szCs w:val="24"/>
                <w:lang w:val="en-GB"/>
              </w:rPr>
            </w:pPr>
          </w:p>
          <w:p w:rsidR="008354D0" w:rsidRPr="00DE678A" w:rsidRDefault="008354D0" w:rsidP="007E2B32">
            <w:pPr>
              <w:tabs>
                <w:tab w:val="left" w:pos="567"/>
              </w:tabs>
              <w:rPr>
                <w:rFonts w:ascii="Times New Roman" w:hAnsi="Times New Roman" w:cs="Times New Roman"/>
                <w:sz w:val="24"/>
                <w:szCs w:val="24"/>
                <w:lang w:val="en-GB"/>
              </w:rPr>
            </w:pPr>
          </w:p>
        </w:tc>
      </w:tr>
    </w:tbl>
    <w:p w:rsidR="008354D0" w:rsidRPr="00AA651C" w:rsidRDefault="0068755C" w:rsidP="00AA651C">
      <w:pPr>
        <w:pStyle w:val="Heading1"/>
        <w:rPr>
          <w:rFonts w:ascii="Times New Roman" w:eastAsiaTheme="minorHAnsi" w:hAnsi="Times New Roman" w:cs="Times New Roman"/>
          <w:color w:val="000000" w:themeColor="text1"/>
          <w:sz w:val="24"/>
          <w:szCs w:val="24"/>
          <w:lang w:val="en-US"/>
        </w:rPr>
      </w:pPr>
      <w:bookmarkStart w:id="7" w:name="_Toc24979662"/>
      <w:r w:rsidRPr="00AA651C">
        <w:rPr>
          <w:rFonts w:ascii="Times New Roman" w:eastAsiaTheme="minorHAnsi" w:hAnsi="Times New Roman" w:cs="Times New Roman"/>
          <w:color w:val="000000" w:themeColor="text1"/>
          <w:sz w:val="24"/>
          <w:szCs w:val="24"/>
          <w:lang w:val="en-US"/>
        </w:rPr>
        <w:t>5. DESCRIPTION OF POLICY</w:t>
      </w:r>
      <w:bookmarkEnd w:id="7"/>
    </w:p>
    <w:p w:rsidR="00BB6265" w:rsidRDefault="00BB6265">
      <w:pPr>
        <w:spacing w:after="0" w:line="240" w:lineRule="auto"/>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CABs accredited by DAK shall demonstrate that calibration of critical equipment and hence the calibration, inspection or test result generated by that equipment, relevant to their scope of accreditation</w:t>
      </w:r>
      <w:r w:rsidR="007960D8">
        <w:rPr>
          <w:rFonts w:asciiTheme="majorBidi" w:eastAsia="Calibri" w:hAnsiTheme="majorBidi" w:cstheme="majorBidi"/>
          <w:color w:val="000000" w:themeColor="text1"/>
          <w:sz w:val="24"/>
          <w:szCs w:val="24"/>
          <w:lang w:val="en-US"/>
        </w:rPr>
        <w:t>,</w:t>
      </w:r>
      <w:r w:rsidRPr="001D5158">
        <w:rPr>
          <w:rFonts w:asciiTheme="majorBidi" w:eastAsia="Calibri" w:hAnsiTheme="majorBidi" w:cstheme="majorBidi"/>
          <w:color w:val="000000" w:themeColor="text1"/>
          <w:sz w:val="24"/>
          <w:szCs w:val="24"/>
          <w:lang w:val="en-US"/>
        </w:rPr>
        <w:t xml:space="preserve"> is traceable to International System of Units (SI units).  </w:t>
      </w:r>
    </w:p>
    <w:p w:rsidR="00CF1A33" w:rsidRPr="001D5158" w:rsidRDefault="00CF1A33" w:rsidP="00646822">
      <w:pPr>
        <w:spacing w:after="0" w:line="240" w:lineRule="auto"/>
        <w:jc w:val="both"/>
        <w:rPr>
          <w:rFonts w:asciiTheme="majorBidi" w:eastAsia="Calibri" w:hAnsiTheme="majorBidi" w:cstheme="majorBidi"/>
          <w:color w:val="000000" w:themeColor="text1"/>
          <w:sz w:val="24"/>
          <w:szCs w:val="24"/>
          <w:lang w:val="en-US"/>
        </w:rPr>
      </w:pPr>
    </w:p>
    <w:p w:rsidR="00BB6265" w:rsidRPr="001D5158" w:rsidRDefault="00BB6265" w:rsidP="00646822">
      <w:pPr>
        <w:spacing w:after="0" w:line="240" w:lineRule="auto"/>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 xml:space="preserve">“Critical” equipment used by testing and calibration laboratories and inspection bodies is considered by DAK to be those items of equipment necessary to perform a test, calibration or inspection </w:t>
      </w:r>
      <w:r w:rsidR="00FA2E99">
        <w:rPr>
          <w:rFonts w:asciiTheme="majorBidi" w:eastAsia="Calibri" w:hAnsiTheme="majorBidi" w:cstheme="majorBidi"/>
          <w:color w:val="000000" w:themeColor="text1"/>
          <w:sz w:val="24"/>
          <w:szCs w:val="24"/>
          <w:lang w:val="en-US"/>
        </w:rPr>
        <w:t>for</w:t>
      </w:r>
      <w:r w:rsidR="00FA2E99" w:rsidRPr="001D5158">
        <w:rPr>
          <w:rFonts w:asciiTheme="majorBidi" w:eastAsia="Calibri" w:hAnsiTheme="majorBidi" w:cstheme="majorBidi"/>
          <w:color w:val="000000" w:themeColor="text1"/>
          <w:sz w:val="24"/>
          <w:szCs w:val="24"/>
          <w:lang w:val="en-US"/>
        </w:rPr>
        <w:t xml:space="preserve"> </w:t>
      </w:r>
      <w:r w:rsidRPr="001D5158">
        <w:rPr>
          <w:rFonts w:asciiTheme="majorBidi" w:eastAsia="Calibri" w:hAnsiTheme="majorBidi" w:cstheme="majorBidi"/>
          <w:color w:val="000000" w:themeColor="text1"/>
          <w:sz w:val="24"/>
          <w:szCs w:val="24"/>
          <w:lang w:val="en-US"/>
        </w:rPr>
        <w:t xml:space="preserve">the scope of accreditation and which have a significant effect on the uncertainty of measurement of test, calibration or inspection result. </w:t>
      </w:r>
    </w:p>
    <w:p w:rsidR="00BB6265" w:rsidRPr="001D5158" w:rsidRDefault="00BB6265" w:rsidP="00E46310">
      <w:pPr>
        <w:spacing w:after="0" w:line="240" w:lineRule="auto"/>
        <w:jc w:val="both"/>
        <w:rPr>
          <w:rFonts w:asciiTheme="majorBidi" w:eastAsia="Calibri" w:hAnsiTheme="majorBidi" w:cstheme="majorBidi"/>
          <w:color w:val="000000" w:themeColor="text1"/>
          <w:sz w:val="24"/>
          <w:szCs w:val="24"/>
          <w:lang w:val="en-US"/>
        </w:rPr>
      </w:pPr>
    </w:p>
    <w:p w:rsidR="00BB6265" w:rsidRPr="001D5158" w:rsidRDefault="00BB6265" w:rsidP="00646822">
      <w:pPr>
        <w:spacing w:after="0" w:line="240" w:lineRule="auto"/>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Accredited calibration laboratories for equipment and relevant to their scope of accreditation, shall in all cases, where possible, derive their traceability either:</w:t>
      </w:r>
    </w:p>
    <w:p w:rsidR="00BB6265" w:rsidRPr="001D5158" w:rsidRDefault="00BB6265" w:rsidP="00646822">
      <w:pPr>
        <w:spacing w:before="120" w:after="0" w:line="240" w:lineRule="auto"/>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 xml:space="preserve"> </w:t>
      </w:r>
      <w:r w:rsidR="003842FD">
        <w:rPr>
          <w:rFonts w:asciiTheme="majorBidi" w:eastAsia="Calibri" w:hAnsiTheme="majorBidi" w:cstheme="majorBidi"/>
          <w:color w:val="000000" w:themeColor="text1"/>
          <w:sz w:val="24"/>
          <w:szCs w:val="24"/>
          <w:lang w:val="en-US"/>
        </w:rPr>
        <w:t xml:space="preserve">a) </w:t>
      </w:r>
      <w:r w:rsidRPr="001D5158">
        <w:rPr>
          <w:rFonts w:asciiTheme="majorBidi" w:eastAsia="Calibri" w:hAnsiTheme="majorBidi" w:cstheme="majorBidi"/>
          <w:color w:val="000000" w:themeColor="text1"/>
          <w:sz w:val="24"/>
          <w:szCs w:val="24"/>
          <w:lang w:val="en-US"/>
        </w:rPr>
        <w:t>From a national metrology institute whose service is suitable for the intended need and is covered by the CIPM Mutual Recognition Arrangement (CIPM MRA). Services covered by the CIPM MRA can be viewed in Appendix C of the BIPM KCDB which includes the range and uncertainty for each listed service. (</w:t>
      </w:r>
      <w:proofErr w:type="gramStart"/>
      <w:r w:rsidRPr="001D5158">
        <w:rPr>
          <w:rFonts w:asciiTheme="majorBidi" w:eastAsia="Calibri" w:hAnsiTheme="majorBidi" w:cstheme="majorBidi"/>
          <w:color w:val="000000" w:themeColor="text1"/>
          <w:sz w:val="24"/>
          <w:szCs w:val="24"/>
          <w:lang w:val="en-US"/>
        </w:rPr>
        <w:t>route</w:t>
      </w:r>
      <w:proofErr w:type="gramEnd"/>
      <w:r w:rsidRPr="001D5158">
        <w:rPr>
          <w:rFonts w:asciiTheme="majorBidi" w:eastAsia="Calibri" w:hAnsiTheme="majorBidi" w:cstheme="majorBidi"/>
          <w:color w:val="000000" w:themeColor="text1"/>
          <w:sz w:val="24"/>
          <w:szCs w:val="24"/>
          <w:lang w:val="en-US"/>
        </w:rPr>
        <w:t xml:space="preserve"> 1)</w:t>
      </w:r>
    </w:p>
    <w:p w:rsidR="00BB6265" w:rsidRPr="001D5158" w:rsidRDefault="00BB6265" w:rsidP="00E46310">
      <w:pPr>
        <w:spacing w:after="0" w:line="240" w:lineRule="auto"/>
        <w:ind w:left="993" w:hanging="567"/>
        <w:jc w:val="both"/>
        <w:rPr>
          <w:rFonts w:asciiTheme="majorBidi" w:eastAsia="Calibri" w:hAnsiTheme="majorBidi" w:cstheme="majorBidi"/>
          <w:color w:val="000000" w:themeColor="text1"/>
          <w:sz w:val="24"/>
          <w:szCs w:val="24"/>
          <w:lang w:val="en-US"/>
        </w:rPr>
      </w:pPr>
      <w:proofErr w:type="gramStart"/>
      <w:r w:rsidRPr="001D5158">
        <w:rPr>
          <w:rFonts w:asciiTheme="majorBidi" w:eastAsia="Calibri" w:hAnsiTheme="majorBidi" w:cstheme="majorBidi"/>
          <w:color w:val="000000" w:themeColor="text1"/>
          <w:sz w:val="24"/>
          <w:szCs w:val="24"/>
          <w:lang w:val="en-US"/>
        </w:rPr>
        <w:t>or</w:t>
      </w:r>
      <w:proofErr w:type="gramEnd"/>
    </w:p>
    <w:p w:rsidR="00BB6265" w:rsidRPr="001D5158" w:rsidRDefault="003842FD" w:rsidP="00646822">
      <w:pPr>
        <w:spacing w:before="120" w:after="120" w:line="240" w:lineRule="auto"/>
        <w:jc w:val="both"/>
        <w:rPr>
          <w:rFonts w:asciiTheme="majorBidi" w:eastAsia="Calibri" w:hAnsiTheme="majorBidi" w:cstheme="majorBidi"/>
          <w:color w:val="000000" w:themeColor="text1"/>
          <w:sz w:val="24"/>
          <w:szCs w:val="24"/>
          <w:lang w:val="en-US"/>
        </w:rPr>
      </w:pPr>
      <w:r>
        <w:rPr>
          <w:rFonts w:asciiTheme="majorBidi" w:eastAsia="Calibri" w:hAnsiTheme="majorBidi" w:cstheme="majorBidi"/>
          <w:color w:val="000000" w:themeColor="text1"/>
          <w:sz w:val="24"/>
          <w:szCs w:val="24"/>
          <w:lang w:val="en-US"/>
        </w:rPr>
        <w:t xml:space="preserve">b) </w:t>
      </w:r>
      <w:r w:rsidR="00BB6265" w:rsidRPr="001D5158">
        <w:rPr>
          <w:rFonts w:asciiTheme="majorBidi" w:eastAsia="Calibri" w:hAnsiTheme="majorBidi" w:cstheme="majorBidi"/>
          <w:color w:val="000000" w:themeColor="text1"/>
          <w:sz w:val="24"/>
          <w:szCs w:val="24"/>
          <w:lang w:val="en-US"/>
        </w:rPr>
        <w:t>From an accredited calibration laboratory whose service is suitable for the intended need (i.e. the scope of accreditation specifically covers the appropriate calibration) and the Accreditation Body is covered by the EA MLA or ILAC MRA for calibration field. (</w:t>
      </w:r>
      <w:proofErr w:type="gramStart"/>
      <w:r w:rsidR="00BB6265" w:rsidRPr="001D5158">
        <w:rPr>
          <w:rFonts w:asciiTheme="majorBidi" w:eastAsia="Calibri" w:hAnsiTheme="majorBidi" w:cstheme="majorBidi"/>
          <w:color w:val="000000" w:themeColor="text1"/>
          <w:sz w:val="24"/>
          <w:szCs w:val="24"/>
          <w:lang w:val="en-US"/>
        </w:rPr>
        <w:t>route</w:t>
      </w:r>
      <w:proofErr w:type="gramEnd"/>
      <w:r w:rsidR="00BB6265" w:rsidRPr="001D5158">
        <w:rPr>
          <w:rFonts w:asciiTheme="majorBidi" w:eastAsia="Calibri" w:hAnsiTheme="majorBidi" w:cstheme="majorBidi"/>
          <w:color w:val="000000" w:themeColor="text1"/>
          <w:sz w:val="24"/>
          <w:szCs w:val="24"/>
          <w:lang w:val="en-US"/>
        </w:rPr>
        <w:t xml:space="preserve"> 2)               </w:t>
      </w:r>
    </w:p>
    <w:p w:rsidR="00BB6265" w:rsidRPr="001D5158" w:rsidRDefault="00BB6265" w:rsidP="00E46310">
      <w:pPr>
        <w:spacing w:after="0" w:line="240" w:lineRule="auto"/>
        <w:ind w:left="993" w:hanging="567"/>
        <w:jc w:val="both"/>
        <w:rPr>
          <w:rFonts w:asciiTheme="majorBidi" w:eastAsia="Calibri" w:hAnsiTheme="majorBidi" w:cstheme="majorBidi"/>
          <w:color w:val="000000" w:themeColor="text1"/>
          <w:sz w:val="24"/>
          <w:szCs w:val="24"/>
          <w:lang w:val="en-US"/>
        </w:rPr>
      </w:pPr>
      <w:proofErr w:type="gramStart"/>
      <w:r w:rsidRPr="001D5158">
        <w:rPr>
          <w:rFonts w:asciiTheme="majorBidi" w:eastAsia="Calibri" w:hAnsiTheme="majorBidi" w:cstheme="majorBidi"/>
          <w:color w:val="000000" w:themeColor="text1"/>
          <w:sz w:val="24"/>
          <w:szCs w:val="24"/>
          <w:lang w:val="en-US"/>
        </w:rPr>
        <w:t>or</w:t>
      </w:r>
      <w:proofErr w:type="gramEnd"/>
    </w:p>
    <w:p w:rsidR="00BB6265" w:rsidRPr="001D5158" w:rsidRDefault="00BB6265" w:rsidP="00E46310">
      <w:pPr>
        <w:spacing w:after="0" w:line="240" w:lineRule="auto"/>
        <w:ind w:left="993" w:hanging="567"/>
        <w:jc w:val="both"/>
        <w:rPr>
          <w:rFonts w:asciiTheme="majorBidi" w:eastAsia="Calibri" w:hAnsiTheme="majorBidi" w:cstheme="majorBidi"/>
          <w:color w:val="000000" w:themeColor="text1"/>
          <w:sz w:val="24"/>
          <w:szCs w:val="24"/>
          <w:lang w:val="en-US"/>
        </w:rPr>
      </w:pPr>
    </w:p>
    <w:p w:rsidR="00BB6265" w:rsidRPr="001D5158" w:rsidRDefault="003842FD" w:rsidP="00646822">
      <w:pPr>
        <w:spacing w:after="120" w:line="240" w:lineRule="auto"/>
        <w:jc w:val="both"/>
        <w:rPr>
          <w:rFonts w:asciiTheme="majorBidi" w:eastAsia="Calibri" w:hAnsiTheme="majorBidi" w:cstheme="majorBidi"/>
          <w:color w:val="000000" w:themeColor="text1"/>
          <w:sz w:val="24"/>
          <w:szCs w:val="24"/>
          <w:lang w:val="en-US"/>
        </w:rPr>
      </w:pPr>
      <w:r>
        <w:rPr>
          <w:rFonts w:asciiTheme="majorBidi" w:eastAsia="Calibri" w:hAnsiTheme="majorBidi" w:cstheme="majorBidi"/>
          <w:color w:val="000000" w:themeColor="text1"/>
          <w:sz w:val="24"/>
          <w:szCs w:val="24"/>
          <w:lang w:val="en-US"/>
        </w:rPr>
        <w:t xml:space="preserve">c) </w:t>
      </w:r>
      <w:r w:rsidR="00BB6265" w:rsidRPr="001D5158">
        <w:rPr>
          <w:rFonts w:asciiTheme="majorBidi" w:eastAsia="Calibri" w:hAnsiTheme="majorBidi" w:cstheme="majorBidi"/>
          <w:color w:val="000000" w:themeColor="text1"/>
          <w:sz w:val="24"/>
          <w:szCs w:val="24"/>
          <w:lang w:val="en-US"/>
        </w:rPr>
        <w:t>From an NMI whose service is suitable for the intended need but not covered by the CIPM MRA. (</w:t>
      </w:r>
      <w:proofErr w:type="gramStart"/>
      <w:r w:rsidR="00BB6265" w:rsidRPr="001D5158">
        <w:rPr>
          <w:rFonts w:asciiTheme="majorBidi" w:eastAsia="Calibri" w:hAnsiTheme="majorBidi" w:cstheme="majorBidi"/>
          <w:color w:val="000000" w:themeColor="text1"/>
          <w:sz w:val="24"/>
          <w:szCs w:val="24"/>
          <w:lang w:val="en-US"/>
        </w:rPr>
        <w:t>route</w:t>
      </w:r>
      <w:proofErr w:type="gramEnd"/>
      <w:r w:rsidR="00BB6265" w:rsidRPr="001D5158">
        <w:rPr>
          <w:rFonts w:asciiTheme="majorBidi" w:eastAsia="Calibri" w:hAnsiTheme="majorBidi" w:cstheme="majorBidi"/>
          <w:color w:val="000000" w:themeColor="text1"/>
          <w:sz w:val="24"/>
          <w:szCs w:val="24"/>
          <w:lang w:val="en-US"/>
        </w:rPr>
        <w:t xml:space="preserve"> 3a)</w:t>
      </w:r>
    </w:p>
    <w:p w:rsidR="00BB6265" w:rsidRPr="001D5158" w:rsidRDefault="00BB6265" w:rsidP="00E46310">
      <w:pPr>
        <w:spacing w:after="0" w:line="240" w:lineRule="auto"/>
        <w:ind w:left="993" w:hanging="567"/>
        <w:jc w:val="both"/>
        <w:rPr>
          <w:rFonts w:asciiTheme="majorBidi" w:eastAsia="Calibri" w:hAnsiTheme="majorBidi" w:cstheme="majorBidi"/>
          <w:color w:val="000000" w:themeColor="text1"/>
          <w:sz w:val="24"/>
          <w:szCs w:val="24"/>
          <w:lang w:val="en-US"/>
        </w:rPr>
      </w:pPr>
      <w:proofErr w:type="gramStart"/>
      <w:r w:rsidRPr="001D5158">
        <w:rPr>
          <w:rFonts w:asciiTheme="majorBidi" w:eastAsia="Calibri" w:hAnsiTheme="majorBidi" w:cstheme="majorBidi"/>
          <w:color w:val="000000" w:themeColor="text1"/>
          <w:sz w:val="24"/>
          <w:szCs w:val="24"/>
          <w:lang w:val="en-US"/>
        </w:rPr>
        <w:t>or</w:t>
      </w:r>
      <w:proofErr w:type="gramEnd"/>
    </w:p>
    <w:p w:rsidR="00BB6265" w:rsidRPr="001D5158" w:rsidRDefault="00BB6265" w:rsidP="00E46310">
      <w:pPr>
        <w:spacing w:after="0" w:line="240" w:lineRule="auto"/>
        <w:ind w:left="993" w:hanging="567"/>
        <w:jc w:val="both"/>
        <w:rPr>
          <w:rFonts w:asciiTheme="majorBidi" w:eastAsia="Calibri" w:hAnsiTheme="majorBidi" w:cstheme="majorBidi"/>
          <w:color w:val="000000" w:themeColor="text1"/>
          <w:sz w:val="24"/>
          <w:szCs w:val="24"/>
          <w:lang w:val="en-US"/>
        </w:rPr>
      </w:pPr>
    </w:p>
    <w:p w:rsidR="00BB6265" w:rsidRPr="001D5158" w:rsidRDefault="003842FD" w:rsidP="00646822">
      <w:pPr>
        <w:spacing w:after="0" w:line="240" w:lineRule="auto"/>
        <w:jc w:val="both"/>
        <w:rPr>
          <w:rFonts w:asciiTheme="majorBidi" w:eastAsia="Calibri" w:hAnsiTheme="majorBidi" w:cstheme="majorBidi"/>
          <w:color w:val="000000" w:themeColor="text1"/>
          <w:sz w:val="24"/>
          <w:szCs w:val="24"/>
          <w:lang w:val="en-US"/>
        </w:rPr>
      </w:pPr>
      <w:r>
        <w:rPr>
          <w:rFonts w:asciiTheme="majorBidi" w:eastAsia="Calibri" w:hAnsiTheme="majorBidi" w:cstheme="majorBidi"/>
          <w:color w:val="000000" w:themeColor="text1"/>
          <w:sz w:val="24"/>
          <w:szCs w:val="24"/>
          <w:lang w:val="en-US"/>
        </w:rPr>
        <w:t xml:space="preserve">d) </w:t>
      </w:r>
      <w:r w:rsidR="00BB6265" w:rsidRPr="001D5158">
        <w:rPr>
          <w:rFonts w:asciiTheme="majorBidi" w:eastAsia="Calibri" w:hAnsiTheme="majorBidi" w:cstheme="majorBidi"/>
          <w:color w:val="000000" w:themeColor="text1"/>
          <w:sz w:val="24"/>
          <w:szCs w:val="24"/>
          <w:lang w:val="en-US"/>
        </w:rPr>
        <w:t>From a calibration laboratory whose service is suitable for the intended need but not covered by the EA MLA</w:t>
      </w:r>
      <w:r w:rsidR="00CF1A33">
        <w:rPr>
          <w:rFonts w:asciiTheme="majorBidi" w:eastAsia="Calibri" w:hAnsiTheme="majorBidi" w:cstheme="majorBidi"/>
          <w:color w:val="000000" w:themeColor="text1"/>
          <w:sz w:val="24"/>
          <w:szCs w:val="24"/>
          <w:lang w:val="en-US"/>
        </w:rPr>
        <w:t>/BLA</w:t>
      </w:r>
      <w:r w:rsidR="00BB6265" w:rsidRPr="001D5158">
        <w:rPr>
          <w:rFonts w:asciiTheme="majorBidi" w:eastAsia="Calibri" w:hAnsiTheme="majorBidi" w:cstheme="majorBidi"/>
          <w:color w:val="000000" w:themeColor="text1"/>
          <w:sz w:val="24"/>
          <w:szCs w:val="24"/>
          <w:lang w:val="en-US"/>
        </w:rPr>
        <w:t xml:space="preserve"> or ILAC MRA for calibration field. (</w:t>
      </w:r>
      <w:proofErr w:type="gramStart"/>
      <w:r w:rsidR="00BB6265" w:rsidRPr="001D5158">
        <w:rPr>
          <w:rFonts w:asciiTheme="majorBidi" w:eastAsia="Calibri" w:hAnsiTheme="majorBidi" w:cstheme="majorBidi"/>
          <w:color w:val="000000" w:themeColor="text1"/>
          <w:sz w:val="24"/>
          <w:szCs w:val="24"/>
          <w:lang w:val="en-US"/>
        </w:rPr>
        <w:t>route</w:t>
      </w:r>
      <w:proofErr w:type="gramEnd"/>
      <w:r w:rsidR="00BB6265" w:rsidRPr="001D5158">
        <w:rPr>
          <w:rFonts w:asciiTheme="majorBidi" w:eastAsia="Calibri" w:hAnsiTheme="majorBidi" w:cstheme="majorBidi"/>
          <w:color w:val="000000" w:themeColor="text1"/>
          <w:sz w:val="24"/>
          <w:szCs w:val="24"/>
          <w:lang w:val="en-US"/>
        </w:rPr>
        <w:t xml:space="preserve"> 3b)</w:t>
      </w:r>
    </w:p>
    <w:p w:rsidR="00BB6265" w:rsidRPr="001D5158" w:rsidRDefault="00BB6265" w:rsidP="00E46310">
      <w:pPr>
        <w:spacing w:after="0" w:line="240" w:lineRule="auto"/>
        <w:ind w:left="284"/>
        <w:jc w:val="both"/>
        <w:rPr>
          <w:rFonts w:asciiTheme="majorBidi" w:eastAsia="Calibri" w:hAnsiTheme="majorBidi" w:cstheme="majorBidi"/>
          <w:color w:val="000000" w:themeColor="text1"/>
          <w:sz w:val="24"/>
          <w:szCs w:val="24"/>
          <w:lang w:val="en-US"/>
        </w:rPr>
      </w:pPr>
    </w:p>
    <w:p w:rsidR="00BB6265" w:rsidRPr="001D5158" w:rsidRDefault="00BB6265" w:rsidP="00E46310">
      <w:pPr>
        <w:spacing w:after="0" w:line="240" w:lineRule="auto"/>
        <w:ind w:left="426" w:hanging="426"/>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lastRenderedPageBreak/>
        <w:t xml:space="preserve">Choosing traceability routes 3a </w:t>
      </w:r>
      <w:r w:rsidR="00FA2E99">
        <w:rPr>
          <w:rFonts w:asciiTheme="majorBidi" w:eastAsia="Calibri" w:hAnsiTheme="majorBidi" w:cstheme="majorBidi"/>
          <w:color w:val="000000" w:themeColor="text1"/>
          <w:sz w:val="24"/>
          <w:szCs w:val="24"/>
          <w:lang w:val="en-US"/>
        </w:rPr>
        <w:t xml:space="preserve">or </w:t>
      </w:r>
      <w:r w:rsidRPr="001D5158">
        <w:rPr>
          <w:rFonts w:asciiTheme="majorBidi" w:eastAsia="Calibri" w:hAnsiTheme="majorBidi" w:cstheme="majorBidi"/>
          <w:color w:val="000000" w:themeColor="text1"/>
          <w:sz w:val="24"/>
          <w:szCs w:val="24"/>
          <w:lang w:val="en-US"/>
        </w:rPr>
        <w:t xml:space="preserve">3b is </w:t>
      </w:r>
      <w:r w:rsidR="00FA2E99">
        <w:rPr>
          <w:rFonts w:asciiTheme="majorBidi" w:eastAsia="Calibri" w:hAnsiTheme="majorBidi" w:cstheme="majorBidi"/>
          <w:color w:val="000000" w:themeColor="text1"/>
          <w:sz w:val="24"/>
          <w:szCs w:val="24"/>
          <w:lang w:val="en-US"/>
        </w:rPr>
        <w:t xml:space="preserve">only </w:t>
      </w:r>
      <w:r w:rsidRPr="001D5158">
        <w:rPr>
          <w:rFonts w:asciiTheme="majorBidi" w:eastAsia="Calibri" w:hAnsiTheme="majorBidi" w:cstheme="majorBidi"/>
          <w:color w:val="000000" w:themeColor="text1"/>
          <w:sz w:val="24"/>
          <w:szCs w:val="24"/>
          <w:lang w:val="en-US"/>
        </w:rPr>
        <w:t xml:space="preserve">applicable for the types of calibrations for which routes 1 </w:t>
      </w:r>
      <w:r w:rsidR="00957EE2">
        <w:rPr>
          <w:rFonts w:asciiTheme="majorBidi" w:eastAsia="Calibri" w:hAnsiTheme="majorBidi" w:cstheme="majorBidi"/>
          <w:color w:val="000000" w:themeColor="text1"/>
          <w:sz w:val="24"/>
          <w:szCs w:val="24"/>
          <w:lang w:val="en-US"/>
        </w:rPr>
        <w:t>or</w:t>
      </w:r>
      <w:r w:rsidR="00957EE2" w:rsidRPr="001D5158">
        <w:rPr>
          <w:rFonts w:asciiTheme="majorBidi" w:eastAsia="Calibri" w:hAnsiTheme="majorBidi" w:cstheme="majorBidi"/>
          <w:color w:val="000000" w:themeColor="text1"/>
          <w:sz w:val="24"/>
          <w:szCs w:val="24"/>
          <w:lang w:val="en-US"/>
        </w:rPr>
        <w:t xml:space="preserve"> </w:t>
      </w:r>
      <w:r w:rsidRPr="001D5158">
        <w:rPr>
          <w:rFonts w:asciiTheme="majorBidi" w:eastAsia="Calibri" w:hAnsiTheme="majorBidi" w:cstheme="majorBidi"/>
          <w:color w:val="000000" w:themeColor="text1"/>
          <w:sz w:val="24"/>
          <w:szCs w:val="24"/>
          <w:lang w:val="en-US"/>
        </w:rPr>
        <w:t>2 are not possible. For a certain type of calibration, where only routes 3a and 3b are available, route 3a is chosen.</w:t>
      </w:r>
    </w:p>
    <w:p w:rsidR="00BB6265" w:rsidRPr="001D5158" w:rsidRDefault="00BB6265" w:rsidP="00E46310">
      <w:pPr>
        <w:spacing w:after="0" w:line="240" w:lineRule="auto"/>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 xml:space="preserve"> </w:t>
      </w:r>
    </w:p>
    <w:p w:rsidR="00BB6265" w:rsidRPr="001D5158" w:rsidRDefault="00BB6265" w:rsidP="00E46310">
      <w:pPr>
        <w:spacing w:after="0" w:line="240" w:lineRule="auto"/>
        <w:ind w:left="462" w:hanging="462"/>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 xml:space="preserve"> In case the calibration laboratory is using route 3a or 3b, DAK requires </w:t>
      </w:r>
      <w:r w:rsidR="006B5FB9">
        <w:rPr>
          <w:rFonts w:asciiTheme="majorBidi" w:eastAsia="Calibri" w:hAnsiTheme="majorBidi" w:cstheme="majorBidi"/>
          <w:color w:val="000000" w:themeColor="text1"/>
          <w:sz w:val="24"/>
          <w:szCs w:val="24"/>
          <w:lang w:val="en-US"/>
        </w:rPr>
        <w:t>the</w:t>
      </w:r>
      <w:r w:rsidR="006B5FB9" w:rsidRPr="001D5158">
        <w:rPr>
          <w:rFonts w:asciiTheme="majorBidi" w:eastAsia="Calibri" w:hAnsiTheme="majorBidi" w:cstheme="majorBidi"/>
          <w:color w:val="000000" w:themeColor="text1"/>
          <w:sz w:val="24"/>
          <w:szCs w:val="24"/>
          <w:lang w:val="en-US"/>
        </w:rPr>
        <w:t xml:space="preserve"> </w:t>
      </w:r>
      <w:r w:rsidRPr="001D5158">
        <w:rPr>
          <w:rFonts w:asciiTheme="majorBidi" w:eastAsia="Calibri" w:hAnsiTheme="majorBidi" w:cstheme="majorBidi"/>
          <w:color w:val="000000" w:themeColor="text1"/>
          <w:sz w:val="24"/>
          <w:szCs w:val="24"/>
          <w:lang w:val="en-US"/>
        </w:rPr>
        <w:t>calibration laboratories to:</w:t>
      </w:r>
    </w:p>
    <w:p w:rsidR="00BB6265" w:rsidRPr="001D5158" w:rsidRDefault="00BB6265" w:rsidP="00E46310">
      <w:pPr>
        <w:spacing w:after="0" w:line="240" w:lineRule="auto"/>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 xml:space="preserve"> </w:t>
      </w:r>
    </w:p>
    <w:p w:rsidR="00BB6265" w:rsidRPr="00646822" w:rsidRDefault="00BB6265" w:rsidP="00646822">
      <w:pPr>
        <w:pStyle w:val="ListParagraph"/>
        <w:numPr>
          <w:ilvl w:val="0"/>
          <w:numId w:val="16"/>
        </w:numPr>
        <w:spacing w:after="0" w:line="240" w:lineRule="auto"/>
        <w:jc w:val="both"/>
        <w:rPr>
          <w:rFonts w:asciiTheme="majorBidi" w:eastAsia="Calibri" w:hAnsiTheme="majorBidi" w:cstheme="majorBidi"/>
          <w:color w:val="000000" w:themeColor="text1"/>
          <w:sz w:val="24"/>
          <w:szCs w:val="24"/>
          <w:lang w:val="en-US"/>
        </w:rPr>
      </w:pPr>
      <w:r w:rsidRPr="00646822">
        <w:rPr>
          <w:rFonts w:asciiTheme="majorBidi" w:eastAsia="Calibri" w:hAnsiTheme="majorBidi" w:cstheme="majorBidi"/>
          <w:color w:val="000000" w:themeColor="text1"/>
          <w:sz w:val="24"/>
          <w:szCs w:val="24"/>
          <w:lang w:val="en-US"/>
        </w:rPr>
        <w:t>to</w:t>
      </w:r>
      <w:r w:rsidRPr="00646822">
        <w:rPr>
          <w:rFonts w:asciiTheme="majorBidi" w:eastAsia="Calibri" w:hAnsiTheme="majorBidi" w:cstheme="majorBidi"/>
          <w:b/>
          <w:color w:val="000000" w:themeColor="text1"/>
          <w:sz w:val="24"/>
          <w:szCs w:val="24"/>
          <w:lang w:val="en-US"/>
        </w:rPr>
        <w:t xml:space="preserve"> </w:t>
      </w:r>
      <w:r w:rsidRPr="00646822">
        <w:rPr>
          <w:rFonts w:asciiTheme="majorBidi" w:eastAsia="Calibri" w:hAnsiTheme="majorBidi" w:cstheme="majorBidi"/>
          <w:color w:val="000000" w:themeColor="text1"/>
          <w:sz w:val="24"/>
          <w:szCs w:val="24"/>
          <w:lang w:val="en-US"/>
        </w:rPr>
        <w:t>maintain evidence of the calibration certificate that contains all of the following:</w:t>
      </w:r>
    </w:p>
    <w:p w:rsidR="00BB6265" w:rsidRPr="001D5158" w:rsidRDefault="00BB6265" w:rsidP="00646822">
      <w:pPr>
        <w:numPr>
          <w:ilvl w:val="0"/>
          <w:numId w:val="11"/>
        </w:numPr>
        <w:spacing w:after="0" w:line="240" w:lineRule="auto"/>
        <w:ind w:left="1276" w:hanging="425"/>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 xml:space="preserve">the calibration result; </w:t>
      </w:r>
    </w:p>
    <w:p w:rsidR="00BB6265" w:rsidRPr="001D5158" w:rsidRDefault="00BB6265" w:rsidP="00646822">
      <w:pPr>
        <w:numPr>
          <w:ilvl w:val="0"/>
          <w:numId w:val="11"/>
        </w:numPr>
        <w:spacing w:after="0" w:line="240" w:lineRule="auto"/>
        <w:ind w:left="1276" w:hanging="425"/>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 xml:space="preserve">the measurement uncertainty reported as the expanded uncertainty with a defined coverage factor, “k” (typically k = 2) and a confidence interval (typically to approximate the 95% confidence level); </w:t>
      </w:r>
    </w:p>
    <w:p w:rsidR="00BB6265" w:rsidRPr="001D5158" w:rsidRDefault="00BB6265" w:rsidP="00646822">
      <w:pPr>
        <w:numPr>
          <w:ilvl w:val="0"/>
          <w:numId w:val="11"/>
        </w:numPr>
        <w:spacing w:after="0" w:line="240" w:lineRule="auto"/>
        <w:ind w:left="1276" w:hanging="425"/>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 xml:space="preserve">an indication of the reference standard(s) used to perform the calibration;   </w:t>
      </w:r>
    </w:p>
    <w:p w:rsidR="00BB6265" w:rsidRPr="00646822" w:rsidRDefault="00BB6265" w:rsidP="00646822">
      <w:pPr>
        <w:pStyle w:val="ListParagraph"/>
        <w:numPr>
          <w:ilvl w:val="0"/>
          <w:numId w:val="16"/>
        </w:numPr>
        <w:spacing w:before="120" w:after="0" w:line="240" w:lineRule="auto"/>
        <w:ind w:left="714" w:hanging="357"/>
        <w:contextualSpacing w:val="0"/>
        <w:jc w:val="both"/>
        <w:rPr>
          <w:rFonts w:asciiTheme="majorBidi" w:eastAsia="Calibri" w:hAnsiTheme="majorBidi" w:cstheme="majorBidi"/>
          <w:color w:val="000000" w:themeColor="text1"/>
          <w:sz w:val="24"/>
          <w:szCs w:val="24"/>
          <w:lang w:val="en-US"/>
        </w:rPr>
      </w:pPr>
      <w:r w:rsidRPr="00646822">
        <w:rPr>
          <w:rFonts w:asciiTheme="majorBidi" w:eastAsia="Calibri" w:hAnsiTheme="majorBidi" w:cstheme="majorBidi"/>
          <w:color w:val="000000" w:themeColor="text1"/>
          <w:sz w:val="24"/>
          <w:szCs w:val="24"/>
          <w:lang w:val="en-US"/>
        </w:rPr>
        <w:t>to maintain evidence that the reference standard(s) noted on the calibration certificate are traceable to the SI through NMI (or equivalent) or an accredited laboratory;</w:t>
      </w:r>
    </w:p>
    <w:p w:rsidR="00BB6265" w:rsidRPr="00646822" w:rsidRDefault="00BB6265" w:rsidP="00646822">
      <w:pPr>
        <w:pStyle w:val="ListParagraph"/>
        <w:numPr>
          <w:ilvl w:val="0"/>
          <w:numId w:val="16"/>
        </w:numPr>
        <w:spacing w:before="120" w:after="0" w:line="240" w:lineRule="auto"/>
        <w:ind w:left="714" w:hanging="357"/>
        <w:contextualSpacing w:val="0"/>
        <w:jc w:val="both"/>
        <w:rPr>
          <w:rFonts w:asciiTheme="majorBidi" w:eastAsia="Calibri" w:hAnsiTheme="majorBidi" w:cstheme="majorBidi"/>
          <w:color w:val="000000" w:themeColor="text1"/>
          <w:sz w:val="24"/>
          <w:szCs w:val="24"/>
          <w:lang w:val="en-US"/>
        </w:rPr>
      </w:pPr>
      <w:proofErr w:type="gramStart"/>
      <w:r w:rsidRPr="00646822">
        <w:rPr>
          <w:rFonts w:asciiTheme="majorBidi" w:eastAsia="Calibri" w:hAnsiTheme="majorBidi" w:cstheme="majorBidi"/>
          <w:color w:val="000000" w:themeColor="text1"/>
          <w:sz w:val="24"/>
          <w:szCs w:val="24"/>
          <w:lang w:val="en-US"/>
        </w:rPr>
        <w:t>to</w:t>
      </w:r>
      <w:proofErr w:type="gramEnd"/>
      <w:r w:rsidRPr="00646822">
        <w:rPr>
          <w:rFonts w:asciiTheme="majorBidi" w:eastAsia="Calibri" w:hAnsiTheme="majorBidi" w:cstheme="majorBidi"/>
          <w:color w:val="000000" w:themeColor="text1"/>
          <w:sz w:val="24"/>
          <w:szCs w:val="24"/>
          <w:lang w:val="en-US"/>
        </w:rPr>
        <w:t xml:space="preserve"> maintain evidence of the calibration interval for the measuring and test equipment or reference standard.</w:t>
      </w:r>
    </w:p>
    <w:p w:rsidR="00957EE2" w:rsidRPr="00646822" w:rsidRDefault="00957EE2" w:rsidP="00646822">
      <w:pPr>
        <w:pStyle w:val="ListParagraph"/>
        <w:numPr>
          <w:ilvl w:val="0"/>
          <w:numId w:val="16"/>
        </w:numPr>
        <w:spacing w:before="120" w:after="0" w:line="240" w:lineRule="auto"/>
        <w:ind w:left="714" w:hanging="357"/>
        <w:contextualSpacing w:val="0"/>
        <w:jc w:val="both"/>
        <w:rPr>
          <w:rFonts w:asciiTheme="majorBidi" w:eastAsia="Calibri" w:hAnsiTheme="majorBidi" w:cstheme="majorBidi"/>
          <w:color w:val="000000" w:themeColor="text1"/>
          <w:sz w:val="24"/>
          <w:szCs w:val="24"/>
          <w:lang w:val="en-US"/>
        </w:rPr>
      </w:pPr>
      <w:r w:rsidRPr="00646822">
        <w:rPr>
          <w:rFonts w:asciiTheme="majorBidi" w:eastAsia="Calibri" w:hAnsiTheme="majorBidi" w:cstheme="majorBidi"/>
          <w:color w:val="000000" w:themeColor="text1"/>
          <w:sz w:val="24"/>
          <w:szCs w:val="24"/>
          <w:lang w:val="en-US"/>
        </w:rPr>
        <w:t xml:space="preserve">to provide evidence on </w:t>
      </w:r>
      <w:r w:rsidR="009E60DB" w:rsidRPr="00646822">
        <w:rPr>
          <w:rFonts w:asciiTheme="majorBidi" w:eastAsia="Calibri" w:hAnsiTheme="majorBidi" w:cstheme="majorBidi"/>
          <w:color w:val="000000" w:themeColor="text1"/>
          <w:sz w:val="24"/>
          <w:szCs w:val="24"/>
          <w:lang w:val="en-US"/>
        </w:rPr>
        <w:t>complying with the requirements of ISO/IEC 17025:2017 on the followings:</w:t>
      </w:r>
    </w:p>
    <w:p w:rsidR="00957EE2" w:rsidRPr="00792045" w:rsidRDefault="00957EE2" w:rsidP="00646822">
      <w:pPr>
        <w:pStyle w:val="ListParagraph"/>
        <w:numPr>
          <w:ilvl w:val="1"/>
          <w:numId w:val="15"/>
        </w:numPr>
        <w:spacing w:after="0" w:line="240" w:lineRule="auto"/>
        <w:ind w:left="1276" w:hanging="425"/>
        <w:jc w:val="both"/>
        <w:rPr>
          <w:rFonts w:asciiTheme="majorBidi" w:eastAsia="Calibri" w:hAnsiTheme="majorBidi" w:cstheme="majorBidi"/>
          <w:color w:val="000000" w:themeColor="text1"/>
          <w:sz w:val="24"/>
          <w:szCs w:val="24"/>
          <w:lang w:val="en-US"/>
        </w:rPr>
      </w:pPr>
      <w:r w:rsidRPr="00792045">
        <w:rPr>
          <w:rFonts w:asciiTheme="majorBidi" w:eastAsia="Calibri" w:hAnsiTheme="majorBidi" w:cstheme="majorBidi"/>
          <w:color w:val="000000" w:themeColor="text1"/>
          <w:sz w:val="24"/>
          <w:szCs w:val="24"/>
          <w:lang w:val="en-US"/>
        </w:rPr>
        <w:t xml:space="preserve">Records of calibration method validation </w:t>
      </w:r>
    </w:p>
    <w:p w:rsidR="00957EE2" w:rsidRPr="00792045" w:rsidRDefault="00957EE2" w:rsidP="00646822">
      <w:pPr>
        <w:pStyle w:val="ListParagraph"/>
        <w:numPr>
          <w:ilvl w:val="1"/>
          <w:numId w:val="15"/>
        </w:numPr>
        <w:spacing w:after="0" w:line="240" w:lineRule="auto"/>
        <w:ind w:left="1276" w:hanging="425"/>
        <w:jc w:val="both"/>
        <w:rPr>
          <w:rFonts w:asciiTheme="majorBidi" w:eastAsia="Calibri" w:hAnsiTheme="majorBidi" w:cstheme="majorBidi"/>
          <w:color w:val="000000" w:themeColor="text1"/>
          <w:sz w:val="24"/>
          <w:szCs w:val="24"/>
          <w:lang w:val="en-US"/>
        </w:rPr>
      </w:pPr>
      <w:r w:rsidRPr="00792045">
        <w:rPr>
          <w:rFonts w:asciiTheme="majorBidi" w:eastAsia="Calibri" w:hAnsiTheme="majorBidi" w:cstheme="majorBidi"/>
          <w:color w:val="000000" w:themeColor="text1"/>
          <w:sz w:val="24"/>
          <w:szCs w:val="24"/>
          <w:lang w:val="en-US"/>
        </w:rPr>
        <w:t xml:space="preserve">Procedures for estimation of uncertainty </w:t>
      </w:r>
    </w:p>
    <w:p w:rsidR="00957EE2" w:rsidRPr="00792045" w:rsidRDefault="00957EE2" w:rsidP="00646822">
      <w:pPr>
        <w:pStyle w:val="ListParagraph"/>
        <w:numPr>
          <w:ilvl w:val="1"/>
          <w:numId w:val="15"/>
        </w:numPr>
        <w:spacing w:after="0" w:line="240" w:lineRule="auto"/>
        <w:ind w:left="1276" w:hanging="425"/>
        <w:jc w:val="both"/>
        <w:rPr>
          <w:rFonts w:asciiTheme="majorBidi" w:eastAsia="Calibri" w:hAnsiTheme="majorBidi" w:cstheme="majorBidi"/>
          <w:color w:val="000000" w:themeColor="text1"/>
          <w:sz w:val="24"/>
          <w:szCs w:val="24"/>
          <w:lang w:val="en-US"/>
        </w:rPr>
      </w:pPr>
      <w:r w:rsidRPr="00792045">
        <w:rPr>
          <w:rFonts w:asciiTheme="majorBidi" w:eastAsia="Calibri" w:hAnsiTheme="majorBidi" w:cstheme="majorBidi"/>
          <w:color w:val="000000" w:themeColor="text1"/>
          <w:sz w:val="24"/>
          <w:szCs w:val="24"/>
          <w:lang w:val="en-US"/>
        </w:rPr>
        <w:t xml:space="preserve">Documentation for traceability of measurements </w:t>
      </w:r>
    </w:p>
    <w:p w:rsidR="00957EE2" w:rsidRPr="00792045" w:rsidRDefault="00957EE2" w:rsidP="00646822">
      <w:pPr>
        <w:pStyle w:val="ListParagraph"/>
        <w:numPr>
          <w:ilvl w:val="1"/>
          <w:numId w:val="15"/>
        </w:numPr>
        <w:spacing w:after="0" w:line="240" w:lineRule="auto"/>
        <w:ind w:left="1276" w:hanging="425"/>
        <w:jc w:val="both"/>
        <w:rPr>
          <w:rFonts w:asciiTheme="majorBidi" w:eastAsia="Calibri" w:hAnsiTheme="majorBidi" w:cstheme="majorBidi"/>
          <w:color w:val="000000" w:themeColor="text1"/>
          <w:sz w:val="24"/>
          <w:szCs w:val="24"/>
          <w:lang w:val="en-US"/>
        </w:rPr>
      </w:pPr>
      <w:r w:rsidRPr="00792045">
        <w:rPr>
          <w:rFonts w:asciiTheme="majorBidi" w:eastAsia="Calibri" w:hAnsiTheme="majorBidi" w:cstheme="majorBidi"/>
          <w:color w:val="000000" w:themeColor="text1"/>
          <w:sz w:val="24"/>
          <w:szCs w:val="24"/>
          <w:lang w:val="en-US"/>
        </w:rPr>
        <w:t xml:space="preserve">Documentation for assuring the quality of calibration results </w:t>
      </w:r>
    </w:p>
    <w:p w:rsidR="00957EE2" w:rsidRPr="00792045" w:rsidRDefault="00957EE2" w:rsidP="00646822">
      <w:pPr>
        <w:pStyle w:val="ListParagraph"/>
        <w:numPr>
          <w:ilvl w:val="1"/>
          <w:numId w:val="15"/>
        </w:numPr>
        <w:spacing w:after="0" w:line="240" w:lineRule="auto"/>
        <w:ind w:left="1276" w:hanging="425"/>
        <w:jc w:val="both"/>
        <w:rPr>
          <w:rFonts w:asciiTheme="majorBidi" w:eastAsia="Calibri" w:hAnsiTheme="majorBidi" w:cstheme="majorBidi"/>
          <w:color w:val="000000" w:themeColor="text1"/>
          <w:sz w:val="24"/>
          <w:szCs w:val="24"/>
          <w:lang w:val="en-US"/>
        </w:rPr>
      </w:pPr>
      <w:r w:rsidRPr="00792045">
        <w:rPr>
          <w:rFonts w:asciiTheme="majorBidi" w:eastAsia="Calibri" w:hAnsiTheme="majorBidi" w:cstheme="majorBidi"/>
          <w:color w:val="000000" w:themeColor="text1"/>
          <w:sz w:val="24"/>
          <w:szCs w:val="24"/>
          <w:lang w:val="en-US"/>
        </w:rPr>
        <w:t xml:space="preserve">Documentation for competence of </w:t>
      </w:r>
      <w:r w:rsidRPr="009E60DB">
        <w:rPr>
          <w:rFonts w:asciiTheme="majorBidi" w:eastAsia="Calibri" w:hAnsiTheme="majorBidi" w:cstheme="majorBidi"/>
          <w:color w:val="000000" w:themeColor="text1"/>
          <w:sz w:val="24"/>
          <w:szCs w:val="24"/>
          <w:lang w:val="en-US"/>
        </w:rPr>
        <w:t xml:space="preserve">staff </w:t>
      </w:r>
    </w:p>
    <w:p w:rsidR="00957EE2" w:rsidRPr="00792045" w:rsidRDefault="00957EE2" w:rsidP="00646822">
      <w:pPr>
        <w:pStyle w:val="ListParagraph"/>
        <w:numPr>
          <w:ilvl w:val="1"/>
          <w:numId w:val="15"/>
        </w:numPr>
        <w:spacing w:after="0" w:line="240" w:lineRule="auto"/>
        <w:ind w:left="1276" w:hanging="425"/>
        <w:jc w:val="both"/>
        <w:rPr>
          <w:rFonts w:asciiTheme="majorBidi" w:eastAsia="Calibri" w:hAnsiTheme="majorBidi" w:cstheme="majorBidi"/>
          <w:color w:val="000000" w:themeColor="text1"/>
          <w:sz w:val="24"/>
          <w:szCs w:val="24"/>
          <w:lang w:val="en-US"/>
        </w:rPr>
      </w:pPr>
      <w:r w:rsidRPr="00792045">
        <w:rPr>
          <w:rFonts w:asciiTheme="majorBidi" w:eastAsia="Calibri" w:hAnsiTheme="majorBidi" w:cstheme="majorBidi"/>
          <w:color w:val="000000" w:themeColor="text1"/>
          <w:sz w:val="24"/>
          <w:szCs w:val="24"/>
          <w:lang w:val="en-US"/>
        </w:rPr>
        <w:t xml:space="preserve">Documentation for accommodation and environmental conditions </w:t>
      </w:r>
    </w:p>
    <w:p w:rsidR="00957EE2" w:rsidRPr="00792045" w:rsidRDefault="00957EE2" w:rsidP="00646822">
      <w:pPr>
        <w:pStyle w:val="ListParagraph"/>
        <w:numPr>
          <w:ilvl w:val="1"/>
          <w:numId w:val="15"/>
        </w:numPr>
        <w:spacing w:after="0" w:line="240" w:lineRule="auto"/>
        <w:ind w:left="1276" w:hanging="425"/>
        <w:jc w:val="both"/>
        <w:rPr>
          <w:rFonts w:asciiTheme="majorBidi" w:eastAsia="Calibri" w:hAnsiTheme="majorBidi" w:cstheme="majorBidi"/>
          <w:color w:val="000000" w:themeColor="text1"/>
          <w:sz w:val="24"/>
          <w:szCs w:val="24"/>
          <w:lang w:val="en-US"/>
        </w:rPr>
      </w:pPr>
      <w:r w:rsidRPr="00792045">
        <w:rPr>
          <w:rFonts w:asciiTheme="majorBidi" w:eastAsia="Calibri" w:hAnsiTheme="majorBidi" w:cstheme="majorBidi"/>
          <w:color w:val="000000" w:themeColor="text1"/>
          <w:sz w:val="24"/>
          <w:szCs w:val="24"/>
          <w:lang w:val="en-US"/>
        </w:rPr>
        <w:t>Audits of the calibration laboratory</w:t>
      </w:r>
      <w:r>
        <w:rPr>
          <w:rFonts w:asciiTheme="majorBidi" w:eastAsia="Calibri" w:hAnsiTheme="majorBidi" w:cstheme="majorBidi"/>
          <w:color w:val="000000" w:themeColor="text1"/>
          <w:sz w:val="24"/>
          <w:szCs w:val="24"/>
          <w:lang w:val="en-US"/>
        </w:rPr>
        <w:t>.</w:t>
      </w:r>
    </w:p>
    <w:p w:rsidR="001D5158" w:rsidRPr="001D5158" w:rsidRDefault="001D5158" w:rsidP="001D5158">
      <w:pPr>
        <w:spacing w:after="0" w:line="240" w:lineRule="auto"/>
        <w:ind w:left="1276"/>
        <w:jc w:val="both"/>
        <w:rPr>
          <w:rFonts w:asciiTheme="majorBidi" w:eastAsia="Calibri" w:hAnsiTheme="majorBidi" w:cstheme="majorBidi"/>
          <w:color w:val="000000" w:themeColor="text1"/>
          <w:sz w:val="24"/>
          <w:szCs w:val="24"/>
          <w:lang w:val="en-US"/>
        </w:rPr>
      </w:pPr>
    </w:p>
    <w:p w:rsidR="00BB6265" w:rsidRPr="001D5158" w:rsidRDefault="00BB6265" w:rsidP="00646822">
      <w:pPr>
        <w:spacing w:after="0" w:line="240" w:lineRule="auto"/>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In case</w:t>
      </w:r>
      <w:r w:rsidRPr="001D5158">
        <w:rPr>
          <w:rFonts w:asciiTheme="majorBidi" w:eastAsia="Calibri" w:hAnsiTheme="majorBidi" w:cstheme="majorBidi"/>
          <w:b/>
          <w:color w:val="000000" w:themeColor="text1"/>
          <w:sz w:val="24"/>
          <w:szCs w:val="24"/>
          <w:lang w:val="en-US"/>
        </w:rPr>
        <w:t xml:space="preserve"> </w:t>
      </w:r>
      <w:r w:rsidRPr="001D5158">
        <w:rPr>
          <w:rFonts w:asciiTheme="majorBidi" w:eastAsia="Calibri" w:hAnsiTheme="majorBidi" w:cstheme="majorBidi"/>
          <w:color w:val="000000" w:themeColor="text1"/>
          <w:sz w:val="24"/>
          <w:szCs w:val="24"/>
          <w:lang w:val="en-US"/>
        </w:rPr>
        <w:t>the calibration laboratory is using reference materials, those shall be obtained from:</w:t>
      </w:r>
    </w:p>
    <w:p w:rsidR="00BB6265" w:rsidRPr="001D5158" w:rsidRDefault="00BB6265" w:rsidP="00646822">
      <w:pPr>
        <w:spacing w:before="120" w:after="0" w:line="240" w:lineRule="auto"/>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a</w:t>
      </w:r>
      <w:r w:rsidR="00CF1A33">
        <w:rPr>
          <w:rFonts w:asciiTheme="majorBidi" w:eastAsia="Calibri" w:hAnsiTheme="majorBidi" w:cstheme="majorBidi"/>
          <w:color w:val="000000" w:themeColor="text1"/>
          <w:sz w:val="24"/>
          <w:szCs w:val="24"/>
          <w:lang w:val="en-US"/>
        </w:rPr>
        <w:t>)</w:t>
      </w:r>
      <w:r w:rsidRPr="001D5158">
        <w:rPr>
          <w:rFonts w:asciiTheme="majorBidi" w:eastAsia="Calibri" w:hAnsiTheme="majorBidi" w:cstheme="majorBidi"/>
          <w:color w:val="000000" w:themeColor="text1"/>
          <w:sz w:val="24"/>
          <w:szCs w:val="24"/>
          <w:lang w:val="en-US"/>
        </w:rPr>
        <w:t xml:space="preserve"> National Metrology Institute (NMI) or designated institute which values are included in the </w:t>
      </w:r>
      <w:r w:rsidR="009E60DB" w:rsidRPr="001D5158">
        <w:rPr>
          <w:rFonts w:asciiTheme="majorBidi" w:eastAsia="Calibri" w:hAnsiTheme="majorBidi" w:cstheme="majorBidi"/>
          <w:color w:val="000000" w:themeColor="text1"/>
          <w:sz w:val="24"/>
          <w:szCs w:val="24"/>
          <w:lang w:val="en-US"/>
        </w:rPr>
        <w:t>BIPM</w:t>
      </w:r>
      <w:r w:rsidR="00CF1A33">
        <w:rPr>
          <w:rFonts w:asciiTheme="majorBidi" w:eastAsia="Calibri" w:hAnsiTheme="majorBidi" w:cstheme="majorBidi"/>
          <w:color w:val="000000" w:themeColor="text1"/>
          <w:sz w:val="24"/>
          <w:szCs w:val="24"/>
          <w:lang w:val="en-US"/>
        </w:rPr>
        <w:t xml:space="preserve"> </w:t>
      </w:r>
      <w:r w:rsidRPr="001D5158">
        <w:rPr>
          <w:rFonts w:asciiTheme="majorBidi" w:eastAsia="Calibri" w:hAnsiTheme="majorBidi" w:cstheme="majorBidi"/>
          <w:color w:val="000000" w:themeColor="text1"/>
          <w:sz w:val="24"/>
          <w:szCs w:val="24"/>
          <w:lang w:val="en-US"/>
        </w:rPr>
        <w:t xml:space="preserve">KCDB database, </w:t>
      </w:r>
    </w:p>
    <w:p w:rsidR="00BB6265" w:rsidRPr="001D5158" w:rsidRDefault="00BB6265" w:rsidP="00E46310">
      <w:pPr>
        <w:spacing w:after="0" w:line="240" w:lineRule="auto"/>
        <w:ind w:left="1276"/>
        <w:jc w:val="both"/>
        <w:rPr>
          <w:rFonts w:asciiTheme="majorBidi" w:eastAsia="Calibri" w:hAnsiTheme="majorBidi" w:cstheme="majorBidi"/>
          <w:color w:val="000000" w:themeColor="text1"/>
          <w:sz w:val="24"/>
          <w:szCs w:val="24"/>
          <w:lang w:val="en-US"/>
        </w:rPr>
      </w:pPr>
      <w:proofErr w:type="gramStart"/>
      <w:r w:rsidRPr="001D5158">
        <w:rPr>
          <w:rFonts w:asciiTheme="majorBidi" w:eastAsia="Calibri" w:hAnsiTheme="majorBidi" w:cstheme="majorBidi"/>
          <w:color w:val="000000" w:themeColor="text1"/>
          <w:sz w:val="24"/>
          <w:szCs w:val="24"/>
          <w:lang w:val="en-US"/>
        </w:rPr>
        <w:t>or</w:t>
      </w:r>
      <w:proofErr w:type="gramEnd"/>
      <w:r w:rsidRPr="001D5158">
        <w:rPr>
          <w:rFonts w:asciiTheme="majorBidi" w:eastAsia="Calibri" w:hAnsiTheme="majorBidi" w:cstheme="majorBidi"/>
          <w:color w:val="000000" w:themeColor="text1"/>
          <w:sz w:val="24"/>
          <w:szCs w:val="24"/>
          <w:lang w:val="en-US"/>
        </w:rPr>
        <w:t xml:space="preserve"> </w:t>
      </w:r>
    </w:p>
    <w:p w:rsidR="00BB6265" w:rsidRDefault="00BB6265" w:rsidP="00646822">
      <w:pPr>
        <w:spacing w:after="0" w:line="240" w:lineRule="auto"/>
        <w:jc w:val="both"/>
        <w:rPr>
          <w:rFonts w:asciiTheme="majorBidi" w:eastAsia="Calibri" w:hAnsiTheme="majorBidi" w:cstheme="majorBidi"/>
          <w:color w:val="000000" w:themeColor="text1"/>
          <w:sz w:val="24"/>
          <w:szCs w:val="24"/>
          <w:lang w:val="en-US"/>
        </w:rPr>
      </w:pPr>
      <w:proofErr w:type="gramStart"/>
      <w:r w:rsidRPr="001D5158">
        <w:rPr>
          <w:rFonts w:asciiTheme="majorBidi" w:eastAsia="Calibri" w:hAnsiTheme="majorBidi" w:cstheme="majorBidi"/>
          <w:color w:val="000000" w:themeColor="text1"/>
          <w:sz w:val="24"/>
          <w:szCs w:val="24"/>
          <w:lang w:val="en-US"/>
        </w:rPr>
        <w:t>a</w:t>
      </w:r>
      <w:proofErr w:type="gramEnd"/>
      <w:r w:rsidR="00397A57">
        <w:rPr>
          <w:rFonts w:asciiTheme="majorBidi" w:eastAsia="Calibri" w:hAnsiTheme="majorBidi" w:cstheme="majorBidi"/>
          <w:color w:val="000000" w:themeColor="text1"/>
          <w:sz w:val="24"/>
          <w:szCs w:val="24"/>
          <w:lang w:val="en-US"/>
        </w:rPr>
        <w:t xml:space="preserve"> </w:t>
      </w:r>
      <w:r w:rsidRPr="001D5158">
        <w:rPr>
          <w:rFonts w:asciiTheme="majorBidi" w:eastAsia="Calibri" w:hAnsiTheme="majorBidi" w:cstheme="majorBidi"/>
          <w:color w:val="000000" w:themeColor="text1"/>
          <w:sz w:val="24"/>
          <w:szCs w:val="24"/>
          <w:lang w:val="en-US"/>
        </w:rPr>
        <w:t xml:space="preserve">reference material produced by a </w:t>
      </w:r>
      <w:r w:rsidR="009E60DB">
        <w:rPr>
          <w:rFonts w:asciiTheme="majorBidi" w:eastAsia="Calibri" w:hAnsiTheme="majorBidi" w:cstheme="majorBidi"/>
          <w:color w:val="000000" w:themeColor="text1"/>
          <w:sz w:val="24"/>
          <w:szCs w:val="24"/>
          <w:lang w:val="en-US"/>
        </w:rPr>
        <w:t>r</w:t>
      </w:r>
      <w:r w:rsidRPr="001D5158">
        <w:rPr>
          <w:rFonts w:asciiTheme="majorBidi" w:eastAsia="Calibri" w:hAnsiTheme="majorBidi" w:cstheme="majorBidi"/>
          <w:color w:val="000000" w:themeColor="text1"/>
          <w:sz w:val="24"/>
          <w:szCs w:val="24"/>
          <w:lang w:val="en-US"/>
        </w:rPr>
        <w:t xml:space="preserve">eference </w:t>
      </w:r>
      <w:r w:rsidR="00397A57">
        <w:rPr>
          <w:rFonts w:asciiTheme="majorBidi" w:eastAsia="Calibri" w:hAnsiTheme="majorBidi" w:cstheme="majorBidi"/>
          <w:color w:val="000000" w:themeColor="text1"/>
          <w:sz w:val="24"/>
          <w:szCs w:val="24"/>
          <w:lang w:val="en-US"/>
        </w:rPr>
        <w:t>ma</w:t>
      </w:r>
      <w:r w:rsidR="00397A57" w:rsidRPr="001D5158">
        <w:rPr>
          <w:rFonts w:asciiTheme="majorBidi" w:eastAsia="Calibri" w:hAnsiTheme="majorBidi" w:cstheme="majorBidi"/>
          <w:color w:val="000000" w:themeColor="text1"/>
          <w:sz w:val="24"/>
          <w:szCs w:val="24"/>
          <w:lang w:val="en-US"/>
        </w:rPr>
        <w:t>terial</w:t>
      </w:r>
      <w:r w:rsidRPr="001D5158">
        <w:rPr>
          <w:rFonts w:asciiTheme="majorBidi" w:eastAsia="Calibri" w:hAnsiTheme="majorBidi" w:cstheme="majorBidi"/>
          <w:color w:val="000000" w:themeColor="text1"/>
          <w:sz w:val="24"/>
          <w:szCs w:val="24"/>
          <w:lang w:val="en-US"/>
        </w:rPr>
        <w:t xml:space="preserve"> </w:t>
      </w:r>
      <w:r w:rsidR="009E60DB">
        <w:rPr>
          <w:rFonts w:asciiTheme="majorBidi" w:eastAsia="Calibri" w:hAnsiTheme="majorBidi" w:cstheme="majorBidi"/>
          <w:color w:val="000000" w:themeColor="text1"/>
          <w:sz w:val="24"/>
          <w:szCs w:val="24"/>
          <w:lang w:val="en-US"/>
        </w:rPr>
        <w:t>p</w:t>
      </w:r>
      <w:r w:rsidRPr="001D5158">
        <w:rPr>
          <w:rFonts w:asciiTheme="majorBidi" w:eastAsia="Calibri" w:hAnsiTheme="majorBidi" w:cstheme="majorBidi"/>
          <w:color w:val="000000" w:themeColor="text1"/>
          <w:sz w:val="24"/>
          <w:szCs w:val="24"/>
          <w:lang w:val="en-US"/>
        </w:rPr>
        <w:t xml:space="preserve">roducer accredited to </w:t>
      </w:r>
      <w:r w:rsidR="00E565CA">
        <w:rPr>
          <w:rFonts w:asciiTheme="majorBidi" w:eastAsia="Calibri" w:hAnsiTheme="majorBidi" w:cstheme="majorBidi"/>
          <w:color w:val="000000" w:themeColor="text1"/>
          <w:sz w:val="24"/>
          <w:szCs w:val="24"/>
          <w:lang w:val="en-US"/>
        </w:rPr>
        <w:t xml:space="preserve">ISO/IEC 17034:2016 </w:t>
      </w:r>
      <w:r w:rsidRPr="001D5158">
        <w:rPr>
          <w:rFonts w:asciiTheme="majorBidi" w:eastAsia="Calibri" w:hAnsiTheme="majorBidi" w:cstheme="majorBidi"/>
          <w:color w:val="000000" w:themeColor="text1"/>
          <w:sz w:val="24"/>
          <w:szCs w:val="24"/>
          <w:lang w:val="en-US"/>
        </w:rPr>
        <w:t xml:space="preserve"> </w:t>
      </w:r>
      <w:r w:rsidR="009E60DB">
        <w:rPr>
          <w:rFonts w:asciiTheme="majorBidi" w:eastAsia="Calibri" w:hAnsiTheme="majorBidi" w:cstheme="majorBidi"/>
          <w:color w:val="000000" w:themeColor="text1"/>
          <w:sz w:val="24"/>
          <w:szCs w:val="24"/>
          <w:lang w:val="en-US"/>
        </w:rPr>
        <w:t>in combination</w:t>
      </w:r>
      <w:r w:rsidR="009E60DB" w:rsidRPr="001D5158">
        <w:rPr>
          <w:rFonts w:asciiTheme="majorBidi" w:eastAsia="Calibri" w:hAnsiTheme="majorBidi" w:cstheme="majorBidi"/>
          <w:color w:val="000000" w:themeColor="text1"/>
          <w:sz w:val="24"/>
          <w:szCs w:val="24"/>
          <w:lang w:val="en-US"/>
        </w:rPr>
        <w:t xml:space="preserve"> </w:t>
      </w:r>
      <w:r w:rsidRPr="001D5158">
        <w:rPr>
          <w:rFonts w:asciiTheme="majorBidi" w:eastAsia="Calibri" w:hAnsiTheme="majorBidi" w:cstheme="majorBidi"/>
          <w:color w:val="000000" w:themeColor="text1"/>
          <w:sz w:val="24"/>
          <w:szCs w:val="24"/>
          <w:lang w:val="en-US"/>
        </w:rPr>
        <w:t>with ISO/IEC 17025</w:t>
      </w:r>
      <w:r w:rsidR="009E60DB">
        <w:rPr>
          <w:rFonts w:asciiTheme="majorBidi" w:eastAsia="Calibri" w:hAnsiTheme="majorBidi" w:cstheme="majorBidi"/>
          <w:color w:val="000000" w:themeColor="text1"/>
          <w:sz w:val="24"/>
          <w:szCs w:val="24"/>
          <w:lang w:val="en-US"/>
        </w:rPr>
        <w:t>:2017</w:t>
      </w:r>
      <w:r w:rsidRPr="001D5158">
        <w:rPr>
          <w:rFonts w:asciiTheme="majorBidi" w:eastAsia="Calibri" w:hAnsiTheme="majorBidi" w:cstheme="majorBidi"/>
          <w:color w:val="000000" w:themeColor="text1"/>
          <w:sz w:val="24"/>
          <w:szCs w:val="24"/>
          <w:lang w:val="en-US"/>
        </w:rPr>
        <w:t xml:space="preserve">, shall be deemed to have established a valid traceability. </w:t>
      </w:r>
    </w:p>
    <w:p w:rsidR="009E60DB" w:rsidRDefault="009E60DB" w:rsidP="009E60DB">
      <w:pPr>
        <w:spacing w:after="0" w:line="240" w:lineRule="auto"/>
        <w:ind w:left="1276"/>
        <w:jc w:val="both"/>
        <w:rPr>
          <w:rFonts w:asciiTheme="majorBidi" w:eastAsia="Calibri" w:hAnsiTheme="majorBidi" w:cstheme="majorBidi"/>
          <w:color w:val="000000" w:themeColor="text1"/>
          <w:sz w:val="24"/>
          <w:szCs w:val="24"/>
          <w:lang w:val="en-US"/>
        </w:rPr>
      </w:pPr>
    </w:p>
    <w:p w:rsidR="009E60DB" w:rsidRPr="009E60DB" w:rsidRDefault="009E60DB" w:rsidP="00646822">
      <w:pPr>
        <w:spacing w:after="0" w:line="240" w:lineRule="auto"/>
        <w:jc w:val="both"/>
        <w:rPr>
          <w:rFonts w:asciiTheme="majorBidi" w:eastAsia="Calibri" w:hAnsiTheme="majorBidi" w:cstheme="majorBidi"/>
          <w:color w:val="000000" w:themeColor="text1"/>
          <w:sz w:val="24"/>
          <w:szCs w:val="24"/>
          <w:lang w:val="en-US"/>
        </w:rPr>
      </w:pPr>
      <w:r w:rsidRPr="00646822">
        <w:rPr>
          <w:rFonts w:asciiTheme="majorBidi" w:eastAsia="Calibri" w:hAnsiTheme="majorBidi" w:cstheme="majorBidi"/>
          <w:color w:val="000000" w:themeColor="text1"/>
          <w:sz w:val="24"/>
          <w:szCs w:val="24"/>
          <w:u w:val="single"/>
          <w:lang w:val="en-US"/>
        </w:rPr>
        <w:t>Note 1</w:t>
      </w:r>
      <w:r w:rsidRPr="009E60DB">
        <w:rPr>
          <w:rFonts w:asciiTheme="majorBidi" w:eastAsia="Calibri" w:hAnsiTheme="majorBidi" w:cstheme="majorBidi"/>
          <w:color w:val="000000" w:themeColor="text1"/>
          <w:sz w:val="24"/>
          <w:szCs w:val="24"/>
          <w:lang w:val="en-US"/>
        </w:rPr>
        <w:t xml:space="preserve">: Some NMIs may also indicate that their service is covered by the CIPM MRA by including the CIPM MRA logo on their calibration certificates, however the fixing of the logo is not mandatory and the BIPM KCDB remains the authoritative source of verification. </w:t>
      </w:r>
    </w:p>
    <w:p w:rsidR="009E60DB" w:rsidRPr="009E60DB" w:rsidRDefault="009E60DB" w:rsidP="009E60DB">
      <w:pPr>
        <w:spacing w:after="0" w:line="240" w:lineRule="auto"/>
        <w:ind w:left="1276"/>
        <w:jc w:val="both"/>
        <w:rPr>
          <w:rFonts w:asciiTheme="majorBidi" w:eastAsia="Calibri" w:hAnsiTheme="majorBidi" w:cstheme="majorBidi"/>
          <w:color w:val="000000" w:themeColor="text1"/>
          <w:sz w:val="24"/>
          <w:szCs w:val="24"/>
          <w:lang w:val="en-US"/>
        </w:rPr>
      </w:pPr>
      <w:r w:rsidRPr="009E60DB">
        <w:rPr>
          <w:rFonts w:asciiTheme="majorBidi" w:eastAsia="Calibri" w:hAnsiTheme="majorBidi" w:cstheme="majorBidi"/>
          <w:color w:val="000000" w:themeColor="text1"/>
          <w:sz w:val="24"/>
          <w:szCs w:val="24"/>
          <w:lang w:val="en-US"/>
        </w:rPr>
        <w:t xml:space="preserve"> </w:t>
      </w:r>
    </w:p>
    <w:p w:rsidR="001D5158" w:rsidRDefault="009E60DB" w:rsidP="00646822">
      <w:pPr>
        <w:spacing w:after="0" w:line="240" w:lineRule="auto"/>
        <w:jc w:val="both"/>
        <w:rPr>
          <w:rFonts w:asciiTheme="majorBidi" w:eastAsia="Calibri" w:hAnsiTheme="majorBidi" w:cstheme="majorBidi"/>
          <w:color w:val="000000" w:themeColor="text1"/>
          <w:sz w:val="24"/>
          <w:szCs w:val="24"/>
          <w:lang w:val="en-US"/>
        </w:rPr>
      </w:pPr>
      <w:r w:rsidRPr="00646822">
        <w:rPr>
          <w:rFonts w:asciiTheme="majorBidi" w:eastAsia="Calibri" w:hAnsiTheme="majorBidi" w:cstheme="majorBidi"/>
          <w:color w:val="000000" w:themeColor="text1"/>
          <w:sz w:val="24"/>
          <w:szCs w:val="24"/>
          <w:u w:val="single"/>
          <w:lang w:val="en-US"/>
        </w:rPr>
        <w:t>Note 2</w:t>
      </w:r>
      <w:r w:rsidRPr="009E60DB">
        <w:rPr>
          <w:rFonts w:asciiTheme="majorBidi" w:eastAsia="Calibri" w:hAnsiTheme="majorBidi" w:cstheme="majorBidi"/>
          <w:color w:val="000000" w:themeColor="text1"/>
          <w:sz w:val="24"/>
          <w:szCs w:val="24"/>
          <w:lang w:val="en-US"/>
        </w:rPr>
        <w:t xml:space="preserve">: NMIs from Member States participating in the </w:t>
      </w:r>
      <w:proofErr w:type="spellStart"/>
      <w:r w:rsidRPr="009E60DB">
        <w:rPr>
          <w:rFonts w:asciiTheme="majorBidi" w:eastAsia="Calibri" w:hAnsiTheme="majorBidi" w:cstheme="majorBidi"/>
          <w:color w:val="000000" w:themeColor="text1"/>
          <w:sz w:val="24"/>
          <w:szCs w:val="24"/>
          <w:lang w:val="en-US"/>
        </w:rPr>
        <w:t>Metre</w:t>
      </w:r>
      <w:proofErr w:type="spellEnd"/>
      <w:r w:rsidRPr="009E60DB">
        <w:rPr>
          <w:rFonts w:asciiTheme="majorBidi" w:eastAsia="Calibri" w:hAnsiTheme="majorBidi" w:cstheme="majorBidi"/>
          <w:color w:val="000000" w:themeColor="text1"/>
          <w:sz w:val="24"/>
          <w:szCs w:val="24"/>
          <w:lang w:val="en-US"/>
        </w:rPr>
        <w:t xml:space="preserve"> Convention may take traceability directly from measurements made at the BIPM. The KCDB provides an automatic link to the relevant BIPM calibration services (including the range and uncertainty). Individual calibration certificates issued by the BIPM are also listed.</w:t>
      </w:r>
    </w:p>
    <w:p w:rsidR="009E60DB" w:rsidRPr="001D5158" w:rsidRDefault="009E60DB" w:rsidP="009E60DB">
      <w:pPr>
        <w:spacing w:after="0" w:line="240" w:lineRule="auto"/>
        <w:ind w:left="1276"/>
        <w:jc w:val="both"/>
        <w:rPr>
          <w:rFonts w:asciiTheme="majorBidi" w:eastAsia="Calibri" w:hAnsiTheme="majorBidi" w:cstheme="majorBidi"/>
          <w:color w:val="000000" w:themeColor="text1"/>
          <w:sz w:val="24"/>
          <w:szCs w:val="24"/>
          <w:lang w:val="en-US"/>
        </w:rPr>
      </w:pPr>
    </w:p>
    <w:p w:rsidR="00BB6265" w:rsidRPr="001D5158" w:rsidRDefault="00BB6265" w:rsidP="00646822">
      <w:pPr>
        <w:spacing w:after="0" w:line="240" w:lineRule="auto"/>
        <w:jc w:val="both"/>
        <w:rPr>
          <w:rFonts w:asciiTheme="majorBidi" w:eastAsia="Calibri" w:hAnsiTheme="majorBidi" w:cstheme="majorBidi"/>
          <w:color w:val="000000" w:themeColor="text1"/>
          <w:sz w:val="24"/>
          <w:szCs w:val="24"/>
          <w:lang w:val="en-US"/>
        </w:rPr>
      </w:pPr>
      <w:r w:rsidRPr="001D5158">
        <w:rPr>
          <w:rFonts w:asciiTheme="majorBidi" w:eastAsia="Calibri" w:hAnsiTheme="majorBidi" w:cstheme="majorBidi"/>
          <w:color w:val="000000" w:themeColor="text1"/>
          <w:sz w:val="24"/>
          <w:szCs w:val="24"/>
          <w:lang w:val="en-US"/>
        </w:rPr>
        <w:t xml:space="preserve">For reference materials produced by non-accredited </w:t>
      </w:r>
      <w:r w:rsidR="00FA2E99">
        <w:rPr>
          <w:rFonts w:asciiTheme="majorBidi" w:eastAsia="Calibri" w:hAnsiTheme="majorBidi" w:cstheme="majorBidi"/>
          <w:color w:val="000000" w:themeColor="text1"/>
          <w:sz w:val="24"/>
          <w:szCs w:val="24"/>
          <w:lang w:val="en-US"/>
        </w:rPr>
        <w:t>producers</w:t>
      </w:r>
      <w:r w:rsidR="00FA2E99" w:rsidRPr="001D5158">
        <w:rPr>
          <w:rFonts w:asciiTheme="majorBidi" w:eastAsia="Calibri" w:hAnsiTheme="majorBidi" w:cstheme="majorBidi"/>
          <w:color w:val="000000" w:themeColor="text1"/>
          <w:sz w:val="24"/>
          <w:szCs w:val="24"/>
          <w:lang w:val="en-US"/>
        </w:rPr>
        <w:t xml:space="preserve"> </w:t>
      </w:r>
      <w:r w:rsidRPr="001D5158">
        <w:rPr>
          <w:rFonts w:asciiTheme="majorBidi" w:eastAsia="Calibri" w:hAnsiTheme="majorBidi" w:cstheme="majorBidi"/>
          <w:color w:val="000000" w:themeColor="text1"/>
          <w:sz w:val="24"/>
          <w:szCs w:val="24"/>
          <w:lang w:val="en-US"/>
        </w:rPr>
        <w:t xml:space="preserve">and which are critical for performing the test, the laboratory shall demonstrate that each reference material or certified reference material is suitable for its intended use, as required by </w:t>
      </w:r>
      <w:r w:rsidR="00FA2E99">
        <w:rPr>
          <w:rFonts w:asciiTheme="majorBidi" w:eastAsia="Calibri" w:hAnsiTheme="majorBidi" w:cstheme="majorBidi"/>
          <w:color w:val="000000" w:themeColor="text1"/>
          <w:sz w:val="24"/>
          <w:szCs w:val="24"/>
          <w:lang w:val="en-US"/>
        </w:rPr>
        <w:t>clause 6.5.3</w:t>
      </w:r>
      <w:r w:rsidRPr="001D5158">
        <w:rPr>
          <w:rFonts w:asciiTheme="majorBidi" w:eastAsia="Calibri" w:hAnsiTheme="majorBidi" w:cstheme="majorBidi"/>
          <w:color w:val="000000" w:themeColor="text1"/>
          <w:sz w:val="24"/>
          <w:szCs w:val="24"/>
          <w:lang w:val="en-US"/>
        </w:rPr>
        <w:t xml:space="preserve"> of ISO/IEC 17025</w:t>
      </w:r>
      <w:r w:rsidR="00FA2E99">
        <w:rPr>
          <w:rFonts w:asciiTheme="majorBidi" w:eastAsia="Calibri" w:hAnsiTheme="majorBidi" w:cstheme="majorBidi"/>
          <w:color w:val="000000" w:themeColor="text1"/>
          <w:sz w:val="24"/>
          <w:szCs w:val="24"/>
          <w:lang w:val="en-US"/>
        </w:rPr>
        <w:t>:2017</w:t>
      </w:r>
      <w:r w:rsidRPr="001D5158">
        <w:rPr>
          <w:rFonts w:asciiTheme="majorBidi" w:eastAsia="Calibri" w:hAnsiTheme="majorBidi" w:cstheme="majorBidi"/>
          <w:color w:val="000000" w:themeColor="text1"/>
          <w:sz w:val="24"/>
          <w:szCs w:val="24"/>
          <w:lang w:val="en-US"/>
        </w:rPr>
        <w:t>.</w:t>
      </w:r>
    </w:p>
    <w:p w:rsidR="00B20A90" w:rsidRDefault="00B20A90" w:rsidP="00792045">
      <w:pPr>
        <w:spacing w:after="0" w:line="240" w:lineRule="auto"/>
        <w:ind w:left="357"/>
        <w:jc w:val="both"/>
        <w:rPr>
          <w:rFonts w:asciiTheme="majorBidi" w:eastAsia="Calibri" w:hAnsiTheme="majorBidi" w:cstheme="majorBidi"/>
          <w:color w:val="000000" w:themeColor="text1"/>
          <w:sz w:val="24"/>
          <w:szCs w:val="24"/>
          <w:lang w:val="en-US"/>
        </w:rPr>
      </w:pPr>
      <w:r>
        <w:rPr>
          <w:rFonts w:asciiTheme="majorBidi" w:eastAsia="Calibri" w:hAnsiTheme="majorBidi" w:cstheme="majorBidi"/>
          <w:b/>
          <w:color w:val="000000" w:themeColor="text1"/>
          <w:sz w:val="24"/>
          <w:szCs w:val="24"/>
          <w:lang w:val="en-US"/>
        </w:rPr>
        <w:t xml:space="preserve"> </w:t>
      </w:r>
    </w:p>
    <w:p w:rsidR="00440895" w:rsidRDefault="00C80978" w:rsidP="00646822">
      <w:pPr>
        <w:spacing w:after="0" w:line="240" w:lineRule="auto"/>
        <w:jc w:val="both"/>
        <w:rPr>
          <w:rFonts w:asciiTheme="majorBidi" w:eastAsia="Calibri" w:hAnsiTheme="majorBidi" w:cstheme="majorBidi"/>
          <w:color w:val="000000" w:themeColor="text1"/>
          <w:sz w:val="24"/>
          <w:szCs w:val="24"/>
          <w:lang w:val="en-US"/>
        </w:rPr>
      </w:pPr>
      <w:r w:rsidRPr="00C80978">
        <w:rPr>
          <w:rFonts w:asciiTheme="majorBidi" w:eastAsia="Calibri" w:hAnsiTheme="majorBidi" w:cstheme="majorBidi"/>
          <w:color w:val="000000" w:themeColor="text1"/>
          <w:sz w:val="24"/>
          <w:szCs w:val="24"/>
          <w:lang w:val="en-US"/>
        </w:rPr>
        <w:lastRenderedPageBreak/>
        <w:t>Laboratories may receive calibration services from non-accredited calibration laboratory if measurement devices do not have significant impact on accuracy and reliability of the results generated.</w:t>
      </w:r>
      <w:r w:rsidR="00B20A90">
        <w:rPr>
          <w:rFonts w:asciiTheme="majorBidi" w:eastAsia="Calibri" w:hAnsiTheme="majorBidi" w:cstheme="majorBidi"/>
          <w:color w:val="000000" w:themeColor="text1"/>
          <w:sz w:val="24"/>
          <w:szCs w:val="24"/>
          <w:lang w:val="en-US"/>
        </w:rPr>
        <w:t xml:space="preserve"> </w:t>
      </w:r>
      <w:r w:rsidRPr="00C80978">
        <w:rPr>
          <w:rFonts w:asciiTheme="majorBidi" w:eastAsia="Calibri" w:hAnsiTheme="majorBidi" w:cstheme="majorBidi"/>
          <w:color w:val="000000" w:themeColor="text1"/>
          <w:sz w:val="24"/>
          <w:szCs w:val="24"/>
          <w:lang w:val="en-US"/>
        </w:rPr>
        <w:t xml:space="preserve">In this case the laboratories should request certificates of </w:t>
      </w:r>
      <w:r>
        <w:rPr>
          <w:rFonts w:asciiTheme="majorBidi" w:eastAsia="Calibri" w:hAnsiTheme="majorBidi" w:cstheme="majorBidi"/>
          <w:color w:val="000000" w:themeColor="text1"/>
          <w:sz w:val="24"/>
          <w:szCs w:val="24"/>
          <w:lang w:val="en-US"/>
        </w:rPr>
        <w:t>their</w:t>
      </w:r>
      <w:r w:rsidRPr="00C80978">
        <w:rPr>
          <w:rFonts w:asciiTheme="majorBidi" w:eastAsia="Calibri" w:hAnsiTheme="majorBidi" w:cstheme="majorBidi"/>
          <w:color w:val="000000" w:themeColor="text1"/>
          <w:sz w:val="24"/>
          <w:szCs w:val="24"/>
          <w:lang w:val="en-US"/>
        </w:rPr>
        <w:t xml:space="preserve"> standards’ calibration </w:t>
      </w:r>
      <w:r>
        <w:rPr>
          <w:rFonts w:asciiTheme="majorBidi" w:eastAsia="Calibri" w:hAnsiTheme="majorBidi" w:cstheme="majorBidi"/>
          <w:color w:val="000000" w:themeColor="text1"/>
          <w:sz w:val="24"/>
          <w:szCs w:val="24"/>
          <w:lang w:val="en-US"/>
        </w:rPr>
        <w:t>by</w:t>
      </w:r>
      <w:r w:rsidRPr="00C80978">
        <w:rPr>
          <w:rFonts w:asciiTheme="majorBidi" w:eastAsia="Calibri" w:hAnsiTheme="majorBidi" w:cstheme="majorBidi"/>
          <w:color w:val="000000" w:themeColor="text1"/>
          <w:sz w:val="24"/>
          <w:szCs w:val="24"/>
          <w:lang w:val="en-US"/>
        </w:rPr>
        <w:t xml:space="preserve"> non-accredited laboratory, which contain the information and evidence of their traceability to the highest level of standards, such as standards of</w:t>
      </w:r>
      <w:r w:rsidR="00FA2E99">
        <w:rPr>
          <w:rFonts w:asciiTheme="majorBidi" w:eastAsia="Calibri" w:hAnsiTheme="majorBidi" w:cstheme="majorBidi"/>
          <w:color w:val="000000" w:themeColor="text1"/>
          <w:sz w:val="24"/>
          <w:szCs w:val="24"/>
          <w:lang w:val="en-US"/>
        </w:rPr>
        <w:t xml:space="preserve"> </w:t>
      </w:r>
      <w:r w:rsidR="00440895">
        <w:rPr>
          <w:rFonts w:asciiTheme="majorBidi" w:eastAsia="Calibri" w:hAnsiTheme="majorBidi" w:cstheme="majorBidi"/>
          <w:color w:val="000000" w:themeColor="text1"/>
          <w:sz w:val="24"/>
          <w:szCs w:val="24"/>
          <w:lang w:val="en-US"/>
        </w:rPr>
        <w:t>the</w:t>
      </w:r>
      <w:r w:rsidRPr="00C80978">
        <w:rPr>
          <w:rFonts w:asciiTheme="majorBidi" w:eastAsia="Calibri" w:hAnsiTheme="majorBidi" w:cstheme="majorBidi"/>
          <w:color w:val="000000" w:themeColor="text1"/>
          <w:sz w:val="24"/>
          <w:szCs w:val="24"/>
          <w:lang w:val="en-US"/>
        </w:rPr>
        <w:t xml:space="preserve"> National </w:t>
      </w:r>
      <w:r>
        <w:rPr>
          <w:rFonts w:asciiTheme="majorBidi" w:eastAsia="Calibri" w:hAnsiTheme="majorBidi" w:cstheme="majorBidi"/>
          <w:color w:val="000000" w:themeColor="text1"/>
          <w:sz w:val="24"/>
          <w:szCs w:val="24"/>
          <w:lang w:val="en-US"/>
        </w:rPr>
        <w:t>M</w:t>
      </w:r>
      <w:r w:rsidRPr="00C80978">
        <w:rPr>
          <w:rFonts w:asciiTheme="majorBidi" w:eastAsia="Calibri" w:hAnsiTheme="majorBidi" w:cstheme="majorBidi"/>
          <w:color w:val="000000" w:themeColor="text1"/>
          <w:sz w:val="24"/>
          <w:szCs w:val="24"/>
          <w:lang w:val="en-US"/>
        </w:rPr>
        <w:t xml:space="preserve">etrology </w:t>
      </w:r>
      <w:r>
        <w:rPr>
          <w:rFonts w:asciiTheme="majorBidi" w:eastAsia="Calibri" w:hAnsiTheme="majorBidi" w:cstheme="majorBidi"/>
          <w:color w:val="000000" w:themeColor="text1"/>
          <w:sz w:val="24"/>
          <w:szCs w:val="24"/>
          <w:lang w:val="en-US"/>
        </w:rPr>
        <w:t>I</w:t>
      </w:r>
      <w:r w:rsidRPr="00C80978">
        <w:rPr>
          <w:rFonts w:asciiTheme="majorBidi" w:eastAsia="Calibri" w:hAnsiTheme="majorBidi" w:cstheme="majorBidi"/>
          <w:color w:val="000000" w:themeColor="text1"/>
          <w:sz w:val="24"/>
          <w:szCs w:val="24"/>
          <w:lang w:val="en-US"/>
        </w:rPr>
        <w:t>nstitut</w:t>
      </w:r>
      <w:r>
        <w:rPr>
          <w:rFonts w:asciiTheme="majorBidi" w:eastAsia="Calibri" w:hAnsiTheme="majorBidi" w:cstheme="majorBidi"/>
          <w:color w:val="000000" w:themeColor="text1"/>
          <w:sz w:val="24"/>
          <w:szCs w:val="24"/>
          <w:lang w:val="en-US"/>
        </w:rPr>
        <w:t>es</w:t>
      </w:r>
      <w:r w:rsidRPr="00C80978">
        <w:rPr>
          <w:rFonts w:asciiTheme="majorBidi" w:eastAsia="Calibri" w:hAnsiTheme="majorBidi" w:cstheme="majorBidi"/>
          <w:color w:val="000000" w:themeColor="text1"/>
          <w:sz w:val="24"/>
          <w:szCs w:val="24"/>
          <w:lang w:val="en-US"/>
        </w:rPr>
        <w:t xml:space="preserve"> recognized by BIMP MRA and /or calibration laboratories accredited by </w:t>
      </w:r>
      <w:r w:rsidR="00440895">
        <w:rPr>
          <w:rFonts w:asciiTheme="majorBidi" w:eastAsia="Calibri" w:hAnsiTheme="majorBidi" w:cstheme="majorBidi"/>
          <w:color w:val="000000" w:themeColor="text1"/>
          <w:sz w:val="24"/>
          <w:szCs w:val="24"/>
          <w:lang w:val="en-US"/>
        </w:rPr>
        <w:t>an EA MLA</w:t>
      </w:r>
      <w:r w:rsidR="00CF1A33">
        <w:rPr>
          <w:rFonts w:asciiTheme="majorBidi" w:eastAsia="Calibri" w:hAnsiTheme="majorBidi" w:cstheme="majorBidi"/>
          <w:color w:val="000000" w:themeColor="text1"/>
          <w:sz w:val="24"/>
          <w:szCs w:val="24"/>
          <w:lang w:val="en-US"/>
        </w:rPr>
        <w:t>/BLA</w:t>
      </w:r>
      <w:r w:rsidR="00440895">
        <w:rPr>
          <w:rFonts w:asciiTheme="majorBidi" w:eastAsia="Calibri" w:hAnsiTheme="majorBidi" w:cstheme="majorBidi"/>
          <w:color w:val="000000" w:themeColor="text1"/>
          <w:sz w:val="24"/>
          <w:szCs w:val="24"/>
          <w:lang w:val="en-US"/>
        </w:rPr>
        <w:t xml:space="preserve"> or ILAC</w:t>
      </w:r>
      <w:r w:rsidR="00440895" w:rsidRPr="00C80978">
        <w:rPr>
          <w:rFonts w:asciiTheme="majorBidi" w:eastAsia="Calibri" w:hAnsiTheme="majorBidi" w:cstheme="majorBidi"/>
          <w:color w:val="000000" w:themeColor="text1"/>
          <w:sz w:val="24"/>
          <w:szCs w:val="24"/>
          <w:lang w:val="en-US"/>
        </w:rPr>
        <w:t xml:space="preserve"> MRA </w:t>
      </w:r>
      <w:r>
        <w:rPr>
          <w:rFonts w:asciiTheme="majorBidi" w:eastAsia="Calibri" w:hAnsiTheme="majorBidi" w:cstheme="majorBidi"/>
          <w:color w:val="000000" w:themeColor="text1"/>
          <w:sz w:val="24"/>
          <w:szCs w:val="24"/>
          <w:lang w:val="en-US"/>
        </w:rPr>
        <w:t>signator</w:t>
      </w:r>
      <w:r w:rsidR="00440895">
        <w:rPr>
          <w:rFonts w:asciiTheme="majorBidi" w:eastAsia="Calibri" w:hAnsiTheme="majorBidi" w:cstheme="majorBidi"/>
          <w:color w:val="000000" w:themeColor="text1"/>
          <w:sz w:val="24"/>
          <w:szCs w:val="24"/>
          <w:lang w:val="en-US"/>
        </w:rPr>
        <w:t xml:space="preserve">y national accreditation body. </w:t>
      </w:r>
    </w:p>
    <w:p w:rsidR="00CF1A33" w:rsidRDefault="00CF1A33" w:rsidP="00B20A90">
      <w:pPr>
        <w:spacing w:after="0" w:line="240" w:lineRule="auto"/>
        <w:ind w:left="357"/>
        <w:jc w:val="both"/>
        <w:rPr>
          <w:rFonts w:asciiTheme="majorBidi" w:eastAsia="Calibri" w:hAnsiTheme="majorBidi" w:cstheme="majorBidi"/>
          <w:color w:val="000000" w:themeColor="text1"/>
          <w:sz w:val="24"/>
          <w:szCs w:val="24"/>
          <w:lang w:val="en-US"/>
        </w:rPr>
      </w:pPr>
    </w:p>
    <w:p w:rsidR="003842FD" w:rsidRPr="000043EC" w:rsidRDefault="003842FD" w:rsidP="000043EC">
      <w:pPr>
        <w:pStyle w:val="Heading1"/>
        <w:rPr>
          <w:rFonts w:ascii="Times New Roman" w:eastAsia="Calibri" w:hAnsi="Times New Roman" w:cs="Times New Roman"/>
          <w:color w:val="000000" w:themeColor="text1"/>
          <w:sz w:val="24"/>
          <w:szCs w:val="24"/>
          <w:lang w:val="en-US"/>
        </w:rPr>
      </w:pPr>
      <w:bookmarkStart w:id="8" w:name="_Toc24979663"/>
      <w:r w:rsidRPr="000043EC">
        <w:rPr>
          <w:rFonts w:ascii="Times New Roman" w:eastAsia="Calibri" w:hAnsi="Times New Roman" w:cs="Times New Roman"/>
          <w:color w:val="000000" w:themeColor="text1"/>
          <w:sz w:val="24"/>
          <w:szCs w:val="24"/>
          <w:lang w:val="en-US"/>
        </w:rPr>
        <w:t>6. ANN</w:t>
      </w:r>
      <w:r w:rsidR="00CF1A33" w:rsidRPr="000043EC">
        <w:rPr>
          <w:rFonts w:ascii="Times New Roman" w:eastAsia="Calibri" w:hAnsi="Times New Roman" w:cs="Times New Roman"/>
          <w:color w:val="000000" w:themeColor="text1"/>
          <w:sz w:val="24"/>
          <w:szCs w:val="24"/>
          <w:lang w:val="en-US"/>
        </w:rPr>
        <w:t>E</w:t>
      </w:r>
      <w:r w:rsidRPr="000043EC">
        <w:rPr>
          <w:rFonts w:ascii="Times New Roman" w:eastAsia="Calibri" w:hAnsi="Times New Roman" w:cs="Times New Roman"/>
          <w:color w:val="000000" w:themeColor="text1"/>
          <w:sz w:val="24"/>
          <w:szCs w:val="24"/>
          <w:lang w:val="en-US"/>
        </w:rPr>
        <w:t>XES</w:t>
      </w:r>
      <w:bookmarkEnd w:id="8"/>
    </w:p>
    <w:p w:rsidR="003842FD" w:rsidRPr="00646822" w:rsidRDefault="003842FD" w:rsidP="00646822">
      <w:pPr>
        <w:spacing w:after="0" w:line="240" w:lineRule="auto"/>
        <w:jc w:val="both"/>
        <w:rPr>
          <w:rFonts w:asciiTheme="majorBidi" w:eastAsia="Calibri" w:hAnsiTheme="majorBidi" w:cstheme="majorBidi"/>
          <w:b/>
          <w:color w:val="000000" w:themeColor="text1"/>
          <w:sz w:val="24"/>
          <w:szCs w:val="24"/>
          <w:lang w:val="en-US"/>
        </w:rPr>
      </w:pPr>
    </w:p>
    <w:p w:rsidR="003842FD" w:rsidRDefault="003842FD" w:rsidP="00646822">
      <w:pPr>
        <w:spacing w:after="0" w:line="240" w:lineRule="auto"/>
        <w:jc w:val="both"/>
        <w:rPr>
          <w:rFonts w:asciiTheme="majorBidi" w:eastAsia="Calibri" w:hAnsiTheme="majorBidi" w:cstheme="majorBidi"/>
          <w:color w:val="000000" w:themeColor="text1"/>
          <w:sz w:val="24"/>
          <w:szCs w:val="24"/>
          <w:lang w:val="en-US"/>
        </w:rPr>
      </w:pPr>
      <w:r>
        <w:rPr>
          <w:rFonts w:asciiTheme="majorBidi" w:eastAsia="Calibri" w:hAnsiTheme="majorBidi" w:cstheme="majorBidi"/>
          <w:color w:val="000000" w:themeColor="text1"/>
          <w:sz w:val="24"/>
          <w:szCs w:val="24"/>
          <w:lang w:val="en-US"/>
        </w:rPr>
        <w:t>Not applicable</w:t>
      </w:r>
    </w:p>
    <w:p w:rsidR="00CF1A33" w:rsidRDefault="00CF1A33" w:rsidP="00646822">
      <w:pPr>
        <w:spacing w:after="0" w:line="240" w:lineRule="auto"/>
        <w:jc w:val="both"/>
        <w:rPr>
          <w:rFonts w:asciiTheme="majorBidi" w:eastAsia="Calibri" w:hAnsiTheme="majorBidi" w:cstheme="majorBidi"/>
          <w:color w:val="000000" w:themeColor="text1"/>
          <w:sz w:val="24"/>
          <w:szCs w:val="24"/>
          <w:lang w:val="en-US"/>
        </w:rPr>
      </w:pPr>
    </w:p>
    <w:p w:rsidR="003842FD" w:rsidRPr="00113DFF" w:rsidRDefault="003842FD" w:rsidP="00113DFF">
      <w:pPr>
        <w:pStyle w:val="Heading1"/>
        <w:rPr>
          <w:rFonts w:ascii="Times New Roman" w:eastAsia="Calibri" w:hAnsi="Times New Roman" w:cs="Times New Roman"/>
          <w:color w:val="000000" w:themeColor="text1"/>
          <w:sz w:val="24"/>
          <w:szCs w:val="24"/>
          <w:lang w:val="en-US"/>
        </w:rPr>
      </w:pPr>
      <w:bookmarkStart w:id="9" w:name="_Toc24979664"/>
      <w:r w:rsidRPr="00113DFF">
        <w:rPr>
          <w:rFonts w:ascii="Times New Roman" w:eastAsia="Calibri" w:hAnsi="Times New Roman" w:cs="Times New Roman"/>
          <w:color w:val="000000" w:themeColor="text1"/>
          <w:sz w:val="24"/>
          <w:szCs w:val="24"/>
          <w:lang w:val="en-US"/>
        </w:rPr>
        <w:t>7. RECORDS</w:t>
      </w:r>
      <w:bookmarkEnd w:id="9"/>
    </w:p>
    <w:p w:rsidR="003842FD" w:rsidRPr="00646822" w:rsidRDefault="003842FD" w:rsidP="00646822">
      <w:pPr>
        <w:spacing w:after="0" w:line="240" w:lineRule="auto"/>
        <w:jc w:val="both"/>
        <w:rPr>
          <w:rFonts w:asciiTheme="majorBidi" w:eastAsia="Calibri" w:hAnsiTheme="majorBidi" w:cstheme="majorBidi"/>
          <w:b/>
          <w:color w:val="000000" w:themeColor="text1"/>
          <w:sz w:val="24"/>
          <w:szCs w:val="24"/>
          <w:lang w:val="en-US"/>
        </w:rPr>
      </w:pPr>
    </w:p>
    <w:p w:rsidR="003842FD" w:rsidRDefault="003842FD" w:rsidP="00646822">
      <w:pPr>
        <w:spacing w:after="0" w:line="240" w:lineRule="auto"/>
        <w:jc w:val="both"/>
        <w:rPr>
          <w:rFonts w:asciiTheme="majorBidi" w:eastAsia="Calibri" w:hAnsiTheme="majorBidi" w:cstheme="majorBidi"/>
          <w:color w:val="000000" w:themeColor="text1"/>
          <w:sz w:val="24"/>
          <w:szCs w:val="24"/>
          <w:lang w:val="en-US"/>
        </w:rPr>
      </w:pPr>
      <w:r>
        <w:rPr>
          <w:rFonts w:asciiTheme="majorBidi" w:eastAsia="Calibri" w:hAnsiTheme="majorBidi" w:cstheme="majorBidi"/>
          <w:color w:val="000000" w:themeColor="text1"/>
          <w:sz w:val="24"/>
          <w:szCs w:val="24"/>
          <w:lang w:val="en-US"/>
        </w:rPr>
        <w:t>Not applicable</w:t>
      </w:r>
    </w:p>
    <w:p w:rsidR="00440895" w:rsidRDefault="00440895" w:rsidP="00C80978">
      <w:pPr>
        <w:ind w:left="360"/>
        <w:jc w:val="both"/>
        <w:rPr>
          <w:rFonts w:asciiTheme="majorBidi" w:eastAsia="Calibri" w:hAnsiTheme="majorBidi" w:cstheme="majorBidi"/>
          <w:b/>
          <w:color w:val="000000" w:themeColor="text1"/>
          <w:sz w:val="24"/>
          <w:szCs w:val="24"/>
          <w:lang w:val="en-US"/>
        </w:rPr>
      </w:pPr>
      <w:bookmarkStart w:id="10" w:name="_GoBack"/>
      <w:bookmarkEnd w:id="10"/>
    </w:p>
    <w:p w:rsidR="00982F06" w:rsidRPr="0017299A" w:rsidRDefault="003842FD" w:rsidP="0017299A">
      <w:pPr>
        <w:pStyle w:val="Heading1"/>
        <w:rPr>
          <w:rFonts w:ascii="Times New Roman" w:hAnsi="Times New Roman" w:cs="Times New Roman"/>
          <w:color w:val="000000" w:themeColor="text1"/>
          <w:sz w:val="24"/>
          <w:szCs w:val="24"/>
        </w:rPr>
      </w:pPr>
      <w:bookmarkStart w:id="11" w:name="_Toc24979665"/>
      <w:r w:rsidRPr="0017299A">
        <w:rPr>
          <w:rFonts w:ascii="Times New Roman" w:hAnsi="Times New Roman" w:cs="Times New Roman"/>
          <w:color w:val="000000" w:themeColor="text1"/>
          <w:sz w:val="24"/>
          <w:szCs w:val="24"/>
        </w:rPr>
        <w:t>8</w:t>
      </w:r>
      <w:r w:rsidR="00982F06" w:rsidRPr="0017299A">
        <w:rPr>
          <w:rFonts w:ascii="Times New Roman" w:hAnsi="Times New Roman" w:cs="Times New Roman"/>
          <w:color w:val="000000" w:themeColor="text1"/>
          <w:sz w:val="24"/>
          <w:szCs w:val="24"/>
        </w:rPr>
        <w:t>. HISTORY</w:t>
      </w:r>
      <w:bookmarkEnd w:id="0"/>
      <w:bookmarkEnd w:id="11"/>
    </w:p>
    <w:p w:rsidR="00982F06" w:rsidRPr="001D5158" w:rsidRDefault="00982F06" w:rsidP="00982F06">
      <w:pPr>
        <w:spacing w:after="0" w:line="240" w:lineRule="auto"/>
        <w:rPr>
          <w:rFonts w:asciiTheme="majorBidi" w:hAnsiTheme="majorBidi" w:cstheme="majorBidi"/>
          <w:b/>
          <w:color w:val="000000" w:themeColor="text1"/>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738"/>
        <w:gridCol w:w="4765"/>
      </w:tblGrid>
      <w:tr w:rsidR="00E63412" w:rsidRPr="001D5158" w:rsidTr="00707641">
        <w:tc>
          <w:tcPr>
            <w:tcW w:w="1103" w:type="pct"/>
            <w:vAlign w:val="center"/>
          </w:tcPr>
          <w:p w:rsidR="00982F06" w:rsidRPr="001D5158" w:rsidRDefault="00982F06" w:rsidP="00982F06">
            <w:pPr>
              <w:spacing w:after="0" w:line="240" w:lineRule="auto"/>
              <w:rPr>
                <w:rFonts w:asciiTheme="majorBidi" w:hAnsiTheme="majorBidi" w:cstheme="majorBidi"/>
                <w:b/>
                <w:color w:val="000000" w:themeColor="text1"/>
                <w:sz w:val="24"/>
                <w:szCs w:val="24"/>
                <w:lang w:val="en-US"/>
              </w:rPr>
            </w:pPr>
            <w:r w:rsidRPr="001D5158">
              <w:rPr>
                <w:rFonts w:asciiTheme="majorBidi" w:hAnsiTheme="majorBidi" w:cstheme="majorBidi"/>
                <w:b/>
                <w:color w:val="000000" w:themeColor="text1"/>
                <w:sz w:val="24"/>
                <w:szCs w:val="24"/>
                <w:lang w:val="en-US"/>
              </w:rPr>
              <w:t xml:space="preserve">Date of Edition </w:t>
            </w:r>
          </w:p>
        </w:tc>
        <w:tc>
          <w:tcPr>
            <w:tcW w:w="1422" w:type="pct"/>
            <w:vAlign w:val="center"/>
          </w:tcPr>
          <w:p w:rsidR="00982F06" w:rsidRPr="001D5158" w:rsidRDefault="00982F06" w:rsidP="00982F06">
            <w:pPr>
              <w:spacing w:after="0" w:line="240" w:lineRule="auto"/>
              <w:rPr>
                <w:rFonts w:asciiTheme="majorBidi" w:hAnsiTheme="majorBidi" w:cstheme="majorBidi"/>
                <w:b/>
                <w:color w:val="000000" w:themeColor="text1"/>
                <w:sz w:val="24"/>
                <w:szCs w:val="24"/>
                <w:lang w:val="en-US"/>
              </w:rPr>
            </w:pPr>
            <w:r w:rsidRPr="001D5158">
              <w:rPr>
                <w:rFonts w:asciiTheme="majorBidi" w:hAnsiTheme="majorBidi" w:cstheme="majorBidi"/>
                <w:b/>
                <w:color w:val="000000" w:themeColor="text1"/>
                <w:sz w:val="24"/>
                <w:szCs w:val="24"/>
                <w:lang w:val="en-US"/>
              </w:rPr>
              <w:t>Prepared by</w:t>
            </w:r>
          </w:p>
        </w:tc>
        <w:tc>
          <w:tcPr>
            <w:tcW w:w="2475" w:type="pct"/>
            <w:vAlign w:val="center"/>
          </w:tcPr>
          <w:p w:rsidR="00982F06" w:rsidRPr="001D5158" w:rsidRDefault="00982F06" w:rsidP="00982F06">
            <w:pPr>
              <w:spacing w:after="0" w:line="240" w:lineRule="auto"/>
              <w:rPr>
                <w:rFonts w:asciiTheme="majorBidi" w:hAnsiTheme="majorBidi" w:cstheme="majorBidi"/>
                <w:b/>
                <w:color w:val="000000" w:themeColor="text1"/>
                <w:sz w:val="24"/>
                <w:szCs w:val="24"/>
                <w:lang w:val="en-US"/>
              </w:rPr>
            </w:pPr>
            <w:r w:rsidRPr="001D5158">
              <w:rPr>
                <w:rFonts w:asciiTheme="majorBidi" w:hAnsiTheme="majorBidi" w:cstheme="majorBidi"/>
                <w:b/>
                <w:color w:val="000000" w:themeColor="text1"/>
                <w:sz w:val="24"/>
                <w:szCs w:val="24"/>
                <w:lang w:val="en-US"/>
              </w:rPr>
              <w:t xml:space="preserve">Description of applied changes </w:t>
            </w:r>
          </w:p>
        </w:tc>
      </w:tr>
      <w:tr w:rsidR="00E63412" w:rsidRPr="001D5158" w:rsidTr="00707641">
        <w:tc>
          <w:tcPr>
            <w:tcW w:w="1103" w:type="pct"/>
            <w:vAlign w:val="center"/>
          </w:tcPr>
          <w:p w:rsidR="00982F06" w:rsidRPr="001D5158" w:rsidRDefault="004B666D" w:rsidP="001D5158">
            <w:pPr>
              <w:spacing w:after="0" w:line="240" w:lineRule="auto"/>
              <w:rPr>
                <w:rFonts w:asciiTheme="majorBidi" w:hAnsiTheme="majorBidi" w:cstheme="majorBidi"/>
                <w:color w:val="000000" w:themeColor="text1"/>
                <w:sz w:val="24"/>
                <w:szCs w:val="24"/>
                <w:lang w:val="en-US"/>
              </w:rPr>
            </w:pPr>
            <w:r w:rsidRPr="001D5158">
              <w:rPr>
                <w:rFonts w:asciiTheme="majorBidi" w:hAnsiTheme="majorBidi" w:cstheme="majorBidi"/>
                <w:color w:val="000000" w:themeColor="text1"/>
                <w:sz w:val="24"/>
                <w:szCs w:val="24"/>
                <w:lang w:val="en-US"/>
              </w:rPr>
              <w:t>0</w:t>
            </w:r>
            <w:r w:rsidR="001D5158">
              <w:rPr>
                <w:rFonts w:asciiTheme="majorBidi" w:hAnsiTheme="majorBidi" w:cstheme="majorBidi"/>
                <w:color w:val="000000" w:themeColor="text1"/>
                <w:sz w:val="24"/>
                <w:szCs w:val="24"/>
                <w:lang w:val="en-US"/>
              </w:rPr>
              <w:t>2</w:t>
            </w:r>
            <w:r w:rsidRPr="001D5158">
              <w:rPr>
                <w:rFonts w:asciiTheme="majorBidi" w:hAnsiTheme="majorBidi" w:cstheme="majorBidi"/>
                <w:color w:val="000000" w:themeColor="text1"/>
                <w:sz w:val="24"/>
                <w:szCs w:val="24"/>
                <w:lang w:val="en-US"/>
              </w:rPr>
              <w:t>.</w:t>
            </w:r>
            <w:r w:rsidR="001D5158">
              <w:rPr>
                <w:rFonts w:asciiTheme="majorBidi" w:hAnsiTheme="majorBidi" w:cstheme="majorBidi"/>
                <w:color w:val="000000" w:themeColor="text1"/>
                <w:sz w:val="24"/>
                <w:szCs w:val="24"/>
                <w:lang w:val="en-US"/>
              </w:rPr>
              <w:t>12</w:t>
            </w:r>
            <w:r w:rsidRPr="001D5158">
              <w:rPr>
                <w:rFonts w:asciiTheme="majorBidi" w:hAnsiTheme="majorBidi" w:cstheme="majorBidi"/>
                <w:color w:val="000000" w:themeColor="text1"/>
                <w:sz w:val="24"/>
                <w:szCs w:val="24"/>
                <w:lang w:val="en-US"/>
              </w:rPr>
              <w:t>.2015</w:t>
            </w:r>
          </w:p>
        </w:tc>
        <w:tc>
          <w:tcPr>
            <w:tcW w:w="1422" w:type="pct"/>
            <w:vAlign w:val="center"/>
          </w:tcPr>
          <w:p w:rsidR="00982F06" w:rsidRPr="001D5158" w:rsidRDefault="004B666D" w:rsidP="00982F06">
            <w:pPr>
              <w:spacing w:after="0" w:line="240" w:lineRule="auto"/>
              <w:rPr>
                <w:rFonts w:asciiTheme="majorBidi" w:hAnsiTheme="majorBidi" w:cstheme="majorBidi"/>
                <w:color w:val="000000" w:themeColor="text1"/>
                <w:sz w:val="24"/>
                <w:szCs w:val="24"/>
                <w:lang w:val="en-US"/>
              </w:rPr>
            </w:pPr>
            <w:proofErr w:type="spellStart"/>
            <w:r w:rsidRPr="001D5158">
              <w:rPr>
                <w:rFonts w:asciiTheme="majorBidi" w:hAnsiTheme="majorBidi" w:cstheme="majorBidi"/>
                <w:color w:val="000000" w:themeColor="text1"/>
                <w:sz w:val="24"/>
                <w:szCs w:val="24"/>
                <w:lang w:val="en-US"/>
              </w:rPr>
              <w:t>Ibush</w:t>
            </w:r>
            <w:proofErr w:type="spellEnd"/>
            <w:r w:rsidRPr="001D5158">
              <w:rPr>
                <w:rFonts w:asciiTheme="majorBidi" w:hAnsiTheme="majorBidi" w:cstheme="majorBidi"/>
                <w:color w:val="000000" w:themeColor="text1"/>
                <w:sz w:val="24"/>
                <w:szCs w:val="24"/>
                <w:lang w:val="en-US"/>
              </w:rPr>
              <w:t xml:space="preserve">  </w:t>
            </w:r>
            <w:proofErr w:type="spellStart"/>
            <w:r w:rsidRPr="001D5158">
              <w:rPr>
                <w:rFonts w:asciiTheme="majorBidi" w:hAnsiTheme="majorBidi" w:cstheme="majorBidi"/>
                <w:color w:val="000000" w:themeColor="text1"/>
                <w:sz w:val="24"/>
                <w:szCs w:val="24"/>
                <w:lang w:val="en-US"/>
              </w:rPr>
              <w:t>Luzha</w:t>
            </w:r>
            <w:proofErr w:type="spellEnd"/>
          </w:p>
        </w:tc>
        <w:tc>
          <w:tcPr>
            <w:tcW w:w="2475" w:type="pct"/>
            <w:vAlign w:val="center"/>
          </w:tcPr>
          <w:p w:rsidR="00982F06" w:rsidRPr="001D5158" w:rsidRDefault="001D5158" w:rsidP="001D5158">
            <w:pPr>
              <w:spacing w:after="0" w:line="240" w:lineRule="auto"/>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New</w:t>
            </w:r>
            <w:r w:rsidR="00D75A4D" w:rsidRPr="001D5158">
              <w:rPr>
                <w:rFonts w:asciiTheme="majorBidi" w:hAnsiTheme="majorBidi" w:cstheme="majorBidi"/>
                <w:color w:val="000000" w:themeColor="text1"/>
                <w:sz w:val="24"/>
                <w:szCs w:val="24"/>
                <w:lang w:val="en-US"/>
              </w:rPr>
              <w:t xml:space="preserve"> </w:t>
            </w:r>
            <w:r w:rsidR="004B666D" w:rsidRPr="001D5158">
              <w:rPr>
                <w:rFonts w:asciiTheme="majorBidi" w:hAnsiTheme="majorBidi" w:cstheme="majorBidi"/>
                <w:color w:val="000000" w:themeColor="text1"/>
                <w:sz w:val="24"/>
                <w:szCs w:val="24"/>
                <w:lang w:val="en-US"/>
              </w:rPr>
              <w:t>document</w:t>
            </w:r>
            <w:r>
              <w:rPr>
                <w:rFonts w:asciiTheme="majorBidi" w:hAnsiTheme="majorBidi" w:cstheme="majorBidi"/>
                <w:color w:val="000000" w:themeColor="text1"/>
                <w:sz w:val="24"/>
                <w:szCs w:val="24"/>
                <w:lang w:val="en-US"/>
              </w:rPr>
              <w:t>.</w:t>
            </w:r>
          </w:p>
        </w:tc>
      </w:tr>
      <w:tr w:rsidR="00474159" w:rsidRPr="00474159" w:rsidTr="00707641">
        <w:tc>
          <w:tcPr>
            <w:tcW w:w="1103" w:type="pct"/>
            <w:vAlign w:val="center"/>
          </w:tcPr>
          <w:p w:rsidR="00982F06" w:rsidRPr="00646822" w:rsidRDefault="00D0536F" w:rsidP="00043F35">
            <w:pPr>
              <w:spacing w:after="0" w:line="240" w:lineRule="auto"/>
              <w:rPr>
                <w:rFonts w:asciiTheme="majorBidi" w:hAnsiTheme="majorBidi" w:cstheme="majorBidi"/>
                <w:color w:val="0070C0"/>
                <w:sz w:val="24"/>
                <w:szCs w:val="24"/>
                <w:lang w:val="en-US"/>
              </w:rPr>
            </w:pPr>
            <w:r>
              <w:rPr>
                <w:rFonts w:asciiTheme="majorBidi" w:hAnsiTheme="majorBidi" w:cstheme="majorBidi"/>
                <w:color w:val="0070C0"/>
                <w:sz w:val="24"/>
                <w:szCs w:val="24"/>
                <w:lang w:val="en-US"/>
              </w:rPr>
              <w:t>15.</w:t>
            </w:r>
            <w:r w:rsidR="00CF1A33" w:rsidRPr="00646822">
              <w:rPr>
                <w:rFonts w:asciiTheme="majorBidi" w:hAnsiTheme="majorBidi" w:cstheme="majorBidi"/>
                <w:color w:val="0070C0"/>
                <w:sz w:val="24"/>
                <w:szCs w:val="24"/>
                <w:lang w:val="en-US"/>
              </w:rPr>
              <w:t>1</w:t>
            </w:r>
            <w:r>
              <w:rPr>
                <w:rFonts w:asciiTheme="majorBidi" w:hAnsiTheme="majorBidi" w:cstheme="majorBidi"/>
                <w:color w:val="0070C0"/>
                <w:sz w:val="24"/>
                <w:szCs w:val="24"/>
                <w:lang w:val="en-US"/>
              </w:rPr>
              <w:t>1</w:t>
            </w:r>
            <w:r w:rsidR="00043F35" w:rsidRPr="00646822">
              <w:rPr>
                <w:rFonts w:asciiTheme="majorBidi" w:hAnsiTheme="majorBidi" w:cstheme="majorBidi"/>
                <w:color w:val="0070C0"/>
                <w:sz w:val="24"/>
                <w:szCs w:val="24"/>
                <w:lang w:val="en-US"/>
              </w:rPr>
              <w:t>.2019</w:t>
            </w:r>
            <w:r w:rsidR="00043F35" w:rsidRPr="00646822">
              <w:rPr>
                <w:rFonts w:asciiTheme="majorBidi" w:hAnsiTheme="majorBidi" w:cstheme="majorBidi"/>
                <w:color w:val="0070C0"/>
                <w:sz w:val="24"/>
                <w:szCs w:val="24"/>
                <w:lang w:val="en-US"/>
              </w:rPr>
              <w:tab/>
            </w:r>
          </w:p>
        </w:tc>
        <w:tc>
          <w:tcPr>
            <w:tcW w:w="1422" w:type="pct"/>
            <w:vAlign w:val="center"/>
          </w:tcPr>
          <w:p w:rsidR="00982F06" w:rsidRPr="00646822" w:rsidRDefault="00474159" w:rsidP="00982F06">
            <w:pPr>
              <w:spacing w:after="0" w:line="240" w:lineRule="auto"/>
              <w:rPr>
                <w:rFonts w:asciiTheme="majorBidi" w:hAnsiTheme="majorBidi" w:cstheme="majorBidi"/>
                <w:color w:val="0070C0"/>
                <w:sz w:val="24"/>
                <w:szCs w:val="24"/>
                <w:lang w:val="en-US"/>
              </w:rPr>
            </w:pPr>
            <w:r w:rsidRPr="00646822">
              <w:rPr>
                <w:rFonts w:asciiTheme="majorBidi" w:hAnsiTheme="majorBidi" w:cstheme="majorBidi"/>
                <w:color w:val="0070C0"/>
                <w:sz w:val="24"/>
                <w:szCs w:val="24"/>
                <w:lang w:val="en-US"/>
              </w:rPr>
              <w:t>Valmira Sejdiu</w:t>
            </w:r>
          </w:p>
        </w:tc>
        <w:tc>
          <w:tcPr>
            <w:tcW w:w="2475" w:type="pct"/>
            <w:vAlign w:val="center"/>
          </w:tcPr>
          <w:p w:rsidR="00982F06" w:rsidRPr="00646822" w:rsidRDefault="00043F35" w:rsidP="00982F06">
            <w:pPr>
              <w:spacing w:after="0" w:line="240" w:lineRule="auto"/>
              <w:rPr>
                <w:rFonts w:asciiTheme="majorBidi" w:hAnsiTheme="majorBidi" w:cstheme="majorBidi"/>
                <w:color w:val="0070C0"/>
                <w:sz w:val="24"/>
                <w:szCs w:val="24"/>
                <w:lang w:val="en-US"/>
              </w:rPr>
            </w:pPr>
            <w:r w:rsidRPr="00646822">
              <w:rPr>
                <w:rFonts w:asciiTheme="majorBidi" w:hAnsiTheme="majorBidi" w:cstheme="majorBidi"/>
                <w:color w:val="0070C0"/>
                <w:sz w:val="24"/>
                <w:szCs w:val="24"/>
                <w:lang w:val="en-US"/>
              </w:rPr>
              <w:t>Full revision to align with ISO/IEC 17011:2017</w:t>
            </w:r>
            <w:r w:rsidR="00F403AA" w:rsidRPr="00646822">
              <w:rPr>
                <w:rFonts w:asciiTheme="majorBidi" w:hAnsiTheme="majorBidi" w:cstheme="majorBidi"/>
                <w:color w:val="0070C0"/>
                <w:sz w:val="24"/>
                <w:szCs w:val="24"/>
                <w:lang w:val="en-US"/>
              </w:rPr>
              <w:t xml:space="preserve"> and DAK-PM-01</w:t>
            </w:r>
          </w:p>
        </w:tc>
      </w:tr>
    </w:tbl>
    <w:p w:rsidR="00982F06" w:rsidRPr="00646822" w:rsidRDefault="00982F06" w:rsidP="00982F06">
      <w:pPr>
        <w:spacing w:after="0" w:line="240" w:lineRule="auto"/>
        <w:rPr>
          <w:rFonts w:asciiTheme="majorBidi" w:hAnsiTheme="majorBidi" w:cstheme="majorBidi"/>
          <w:color w:val="0070C0"/>
          <w:sz w:val="24"/>
          <w:szCs w:val="24"/>
          <w:lang w:val="en-US"/>
        </w:rPr>
      </w:pPr>
    </w:p>
    <w:p w:rsidR="00241934" w:rsidRPr="001D5158" w:rsidRDefault="00241934" w:rsidP="00DA561B">
      <w:pPr>
        <w:spacing w:after="0" w:line="240" w:lineRule="auto"/>
        <w:rPr>
          <w:rFonts w:asciiTheme="majorBidi" w:hAnsiTheme="majorBidi" w:cstheme="majorBidi"/>
          <w:color w:val="000000" w:themeColor="text1"/>
          <w:sz w:val="24"/>
          <w:szCs w:val="24"/>
          <w:lang w:val="en-US"/>
        </w:rPr>
      </w:pPr>
    </w:p>
    <w:p w:rsidR="00241934" w:rsidRPr="001D5158" w:rsidRDefault="00241934" w:rsidP="00DA561B">
      <w:pPr>
        <w:spacing w:after="0" w:line="240" w:lineRule="auto"/>
        <w:rPr>
          <w:rFonts w:asciiTheme="majorBidi" w:hAnsiTheme="majorBidi" w:cstheme="majorBidi"/>
          <w:color w:val="000000" w:themeColor="text1"/>
          <w:sz w:val="24"/>
          <w:szCs w:val="24"/>
          <w:lang w:val="en-US"/>
        </w:rPr>
      </w:pPr>
    </w:p>
    <w:p w:rsidR="00241934" w:rsidRPr="001D5158" w:rsidRDefault="00241934" w:rsidP="00DA561B">
      <w:pPr>
        <w:spacing w:after="0" w:line="240" w:lineRule="auto"/>
        <w:rPr>
          <w:rFonts w:asciiTheme="majorBidi" w:hAnsiTheme="majorBidi" w:cstheme="majorBidi"/>
          <w:color w:val="000000" w:themeColor="text1"/>
          <w:sz w:val="24"/>
          <w:szCs w:val="24"/>
          <w:lang w:val="en-US"/>
        </w:rPr>
      </w:pPr>
      <w:r w:rsidRPr="001D5158">
        <w:rPr>
          <w:rFonts w:asciiTheme="majorBidi" w:hAnsiTheme="majorBidi" w:cstheme="majorBidi"/>
          <w:color w:val="000000" w:themeColor="text1"/>
          <w:sz w:val="24"/>
          <w:szCs w:val="24"/>
          <w:lang w:val="en-US"/>
        </w:rPr>
        <w:t xml:space="preserve">                                                                       </w:t>
      </w:r>
    </w:p>
    <w:p w:rsidR="00241934" w:rsidRPr="001D5158" w:rsidRDefault="00241934" w:rsidP="00DA561B">
      <w:pPr>
        <w:spacing w:after="0" w:line="240" w:lineRule="auto"/>
        <w:rPr>
          <w:rFonts w:asciiTheme="majorBidi" w:hAnsiTheme="majorBidi" w:cstheme="majorBidi"/>
          <w:color w:val="000000" w:themeColor="text1"/>
          <w:sz w:val="24"/>
          <w:szCs w:val="24"/>
          <w:lang w:val="en-US"/>
        </w:rPr>
      </w:pPr>
    </w:p>
    <w:p w:rsidR="00A24952" w:rsidRPr="00E63412" w:rsidRDefault="00A24952" w:rsidP="00FA2E99">
      <w:pPr>
        <w:spacing w:after="0" w:line="240" w:lineRule="auto"/>
        <w:rPr>
          <w:rFonts w:ascii="Times New Roman" w:hAnsi="Times New Roman" w:cs="Times New Roman"/>
          <w:color w:val="000000" w:themeColor="text1"/>
          <w:sz w:val="24"/>
          <w:szCs w:val="24"/>
          <w:lang w:val="en-US"/>
        </w:rPr>
      </w:pPr>
    </w:p>
    <w:sectPr w:rsidR="00A24952" w:rsidRPr="00E63412" w:rsidSect="00E05FB5">
      <w:headerReference w:type="default" r:id="rId9"/>
      <w:footerReference w:type="default" r:id="rId10"/>
      <w:pgSz w:w="11906" w:h="16838" w:code="9"/>
      <w:pgMar w:top="851" w:right="851" w:bottom="851" w:left="1418" w:header="85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5B0" w:rsidRDefault="00F725B0" w:rsidP="00905279">
      <w:pPr>
        <w:spacing w:after="0" w:line="240" w:lineRule="auto"/>
      </w:pPr>
      <w:r>
        <w:separator/>
      </w:r>
    </w:p>
  </w:endnote>
  <w:endnote w:type="continuationSeparator" w:id="0">
    <w:p w:rsidR="00F725B0" w:rsidRDefault="00F725B0" w:rsidP="0090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808"/>
    </w:tblGrid>
    <w:tr w:rsidR="00905279" w:rsidRPr="00D06170" w:rsidTr="00DA561B">
      <w:tc>
        <w:tcPr>
          <w:tcW w:w="4926" w:type="dxa"/>
        </w:tcPr>
        <w:p w:rsidR="00DD7207" w:rsidRPr="00DD7207" w:rsidRDefault="008E135C" w:rsidP="00DD7207">
          <w:pPr>
            <w:pStyle w:val="Footer"/>
            <w:rPr>
              <w:rFonts w:asciiTheme="majorBidi" w:hAnsiTheme="majorBidi" w:cstheme="majorBidi"/>
              <w:b/>
              <w:bCs/>
              <w:sz w:val="18"/>
              <w:szCs w:val="18"/>
              <w:lang w:val="en-GB"/>
            </w:rPr>
          </w:pPr>
          <w:r>
            <w:rPr>
              <w:rFonts w:asciiTheme="majorBidi" w:hAnsiTheme="majorBidi" w:cstheme="majorBidi"/>
              <w:b/>
              <w:bCs/>
              <w:sz w:val="18"/>
              <w:szCs w:val="18"/>
              <w:lang w:val="en-GB"/>
            </w:rPr>
            <w:t>DAK-PO-</w:t>
          </w:r>
          <w:r w:rsidR="00DA561B" w:rsidRPr="00DD7207">
            <w:rPr>
              <w:rFonts w:asciiTheme="majorBidi" w:hAnsiTheme="majorBidi" w:cstheme="majorBidi"/>
              <w:b/>
              <w:bCs/>
              <w:sz w:val="18"/>
              <w:szCs w:val="18"/>
              <w:lang w:val="en-GB"/>
            </w:rPr>
            <w:t>0</w:t>
          </w:r>
          <w:r w:rsidR="00BB6265" w:rsidRPr="00DD7207">
            <w:rPr>
              <w:rFonts w:asciiTheme="majorBidi" w:hAnsiTheme="majorBidi" w:cstheme="majorBidi"/>
              <w:b/>
              <w:bCs/>
              <w:sz w:val="18"/>
              <w:szCs w:val="18"/>
              <w:lang w:val="en-GB"/>
            </w:rPr>
            <w:t>6</w:t>
          </w:r>
          <w:r w:rsidR="00DA561B" w:rsidRPr="00DD7207">
            <w:rPr>
              <w:rFonts w:asciiTheme="majorBidi" w:hAnsiTheme="majorBidi" w:cstheme="majorBidi"/>
              <w:b/>
              <w:bCs/>
              <w:sz w:val="18"/>
              <w:szCs w:val="18"/>
              <w:lang w:val="en-GB"/>
            </w:rPr>
            <w:t xml:space="preserve">– </w:t>
          </w:r>
          <w:r w:rsidR="001D5158">
            <w:rPr>
              <w:rFonts w:asciiTheme="majorBidi" w:hAnsiTheme="majorBidi" w:cstheme="majorBidi"/>
              <w:b/>
              <w:bCs/>
              <w:sz w:val="18"/>
              <w:szCs w:val="18"/>
              <w:lang w:val="en-CA"/>
            </w:rPr>
            <w:t xml:space="preserve">Policy on traceability </w:t>
          </w:r>
          <w:r w:rsidR="00BB6265" w:rsidRPr="00DD7207">
            <w:rPr>
              <w:rFonts w:asciiTheme="majorBidi" w:hAnsiTheme="majorBidi" w:cstheme="majorBidi"/>
              <w:b/>
              <w:bCs/>
              <w:sz w:val="18"/>
              <w:szCs w:val="18"/>
              <w:lang w:val="en-CA"/>
            </w:rPr>
            <w:t>of measurements</w:t>
          </w:r>
          <w:r w:rsidR="00DD7207" w:rsidRPr="00DD7207">
            <w:rPr>
              <w:rFonts w:asciiTheme="majorBidi" w:hAnsiTheme="majorBidi" w:cstheme="majorBidi"/>
              <w:b/>
              <w:bCs/>
              <w:sz w:val="18"/>
              <w:szCs w:val="18"/>
              <w:lang w:val="en-GB"/>
            </w:rPr>
            <w:t xml:space="preserve"> </w:t>
          </w:r>
        </w:p>
        <w:p w:rsidR="00DD7207" w:rsidRPr="005D3EF1" w:rsidRDefault="001D5158" w:rsidP="00DD7207">
          <w:pPr>
            <w:pStyle w:val="Footer"/>
            <w:rPr>
              <w:rFonts w:ascii="Times New Roman" w:hAnsi="Times New Roman" w:cs="Times New Roman"/>
              <w:sz w:val="18"/>
              <w:szCs w:val="18"/>
              <w:lang w:val="en-GB"/>
            </w:rPr>
          </w:pPr>
          <w:r w:rsidRPr="00D0536F">
            <w:rPr>
              <w:rFonts w:ascii="Times New Roman" w:hAnsi="Times New Roman" w:cs="Times New Roman"/>
              <w:sz w:val="18"/>
              <w:szCs w:val="18"/>
              <w:lang w:val="en-GB"/>
            </w:rPr>
            <w:t xml:space="preserve">Edition </w:t>
          </w:r>
          <w:r w:rsidR="00990E97" w:rsidRPr="00D0536F">
            <w:rPr>
              <w:rFonts w:ascii="Times New Roman" w:hAnsi="Times New Roman" w:cs="Times New Roman"/>
              <w:sz w:val="18"/>
              <w:szCs w:val="18"/>
              <w:lang w:val="en-GB"/>
            </w:rPr>
            <w:t>2</w:t>
          </w:r>
          <w:r w:rsidR="00FA2E99" w:rsidRPr="00D0536F">
            <w:rPr>
              <w:rFonts w:ascii="Times New Roman" w:hAnsi="Times New Roman" w:cs="Times New Roman"/>
              <w:sz w:val="18"/>
              <w:szCs w:val="18"/>
              <w:lang w:val="en-GB"/>
            </w:rPr>
            <w:t xml:space="preserve"> </w:t>
          </w:r>
          <w:r w:rsidRPr="00D0536F">
            <w:rPr>
              <w:rFonts w:ascii="Times New Roman" w:hAnsi="Times New Roman" w:cs="Times New Roman"/>
              <w:sz w:val="18"/>
              <w:szCs w:val="18"/>
              <w:lang w:val="en-GB"/>
            </w:rPr>
            <w:t xml:space="preserve">of </w:t>
          </w:r>
          <w:r w:rsidR="00D0536F" w:rsidRPr="00646822">
            <w:rPr>
              <w:rFonts w:ascii="Times New Roman" w:hAnsi="Times New Roman" w:cs="Times New Roman"/>
              <w:sz w:val="18"/>
              <w:szCs w:val="18"/>
              <w:lang w:val="en-GB"/>
            </w:rPr>
            <w:t>15.</w:t>
          </w:r>
          <w:r w:rsidR="00475E4E" w:rsidRPr="00D0536F">
            <w:rPr>
              <w:rFonts w:ascii="Times New Roman" w:hAnsi="Times New Roman" w:cs="Times New Roman"/>
              <w:sz w:val="18"/>
              <w:szCs w:val="18"/>
              <w:lang w:val="en-GB"/>
            </w:rPr>
            <w:t>1</w:t>
          </w:r>
          <w:r w:rsidR="00D0536F" w:rsidRPr="00646822">
            <w:rPr>
              <w:rFonts w:ascii="Times New Roman" w:hAnsi="Times New Roman" w:cs="Times New Roman"/>
              <w:sz w:val="18"/>
              <w:szCs w:val="18"/>
              <w:lang w:val="en-GB"/>
            </w:rPr>
            <w:t>1</w:t>
          </w:r>
          <w:r w:rsidR="00043F35" w:rsidRPr="00D0536F">
            <w:rPr>
              <w:rFonts w:ascii="Times New Roman" w:hAnsi="Times New Roman" w:cs="Times New Roman"/>
              <w:sz w:val="18"/>
              <w:szCs w:val="18"/>
              <w:lang w:val="en-GB"/>
            </w:rPr>
            <w:t>.</w:t>
          </w:r>
          <w:r w:rsidR="00FA2E99" w:rsidRPr="00D0536F">
            <w:rPr>
              <w:rFonts w:ascii="Times New Roman" w:hAnsi="Times New Roman" w:cs="Times New Roman"/>
              <w:sz w:val="18"/>
              <w:szCs w:val="18"/>
              <w:lang w:val="en-GB"/>
            </w:rPr>
            <w:t>2019</w:t>
          </w:r>
        </w:p>
        <w:p w:rsidR="00427B62" w:rsidRPr="00D06170" w:rsidRDefault="00427B62" w:rsidP="00773F70">
          <w:pPr>
            <w:rPr>
              <w:rFonts w:ascii="Times New Roman" w:hAnsi="Times New Roman" w:cs="Times New Roman"/>
              <w:sz w:val="16"/>
              <w:szCs w:val="16"/>
              <w:lang w:val="en-GB"/>
            </w:rPr>
          </w:pPr>
        </w:p>
      </w:tc>
      <w:tc>
        <w:tcPr>
          <w:tcW w:w="4927" w:type="dxa"/>
        </w:tcPr>
        <w:sdt>
          <w:sdtPr>
            <w:rPr>
              <w:rFonts w:ascii="Times New Roman" w:hAnsi="Times New Roman" w:cs="Times New Roman"/>
              <w:sz w:val="16"/>
              <w:szCs w:val="16"/>
              <w:lang w:val="en-GB"/>
            </w:rPr>
            <w:id w:val="250395305"/>
            <w:docPartObj>
              <w:docPartGallery w:val="Page Numbers (Top of Page)"/>
              <w:docPartUnique/>
            </w:docPartObj>
          </w:sdtPr>
          <w:sdtEndPr/>
          <w:sdtContent>
            <w:p w:rsidR="00D06170" w:rsidRPr="00D06170" w:rsidRDefault="00905279" w:rsidP="00D06170">
              <w:pPr>
                <w:jc w:val="right"/>
                <w:rPr>
                  <w:rFonts w:ascii="Times New Roman" w:hAnsi="Times New Roman" w:cs="Times New Roman"/>
                  <w:sz w:val="16"/>
                  <w:szCs w:val="16"/>
                  <w:lang w:val="en-GB"/>
                </w:rPr>
              </w:pPr>
              <w:r w:rsidRPr="00D06170">
                <w:rPr>
                  <w:rFonts w:ascii="Times New Roman" w:hAnsi="Times New Roman" w:cs="Times New Roman"/>
                  <w:sz w:val="16"/>
                  <w:szCs w:val="16"/>
                  <w:lang w:val="en-GB"/>
                </w:rPr>
                <w:t xml:space="preserve">Page </w:t>
              </w:r>
              <w:r w:rsidR="008D0BCA" w:rsidRPr="00D06170">
                <w:rPr>
                  <w:rFonts w:ascii="Times New Roman" w:hAnsi="Times New Roman" w:cs="Times New Roman"/>
                  <w:sz w:val="16"/>
                  <w:szCs w:val="16"/>
                  <w:lang w:val="en-GB"/>
                </w:rPr>
                <w:fldChar w:fldCharType="begin"/>
              </w:r>
              <w:r w:rsidRPr="00D06170">
                <w:rPr>
                  <w:rFonts w:ascii="Times New Roman" w:hAnsi="Times New Roman" w:cs="Times New Roman"/>
                  <w:sz w:val="16"/>
                  <w:szCs w:val="16"/>
                  <w:lang w:val="en-GB"/>
                </w:rPr>
                <w:instrText xml:space="preserve"> PAGE </w:instrText>
              </w:r>
              <w:r w:rsidR="008D0BCA" w:rsidRPr="00D06170">
                <w:rPr>
                  <w:rFonts w:ascii="Times New Roman" w:hAnsi="Times New Roman" w:cs="Times New Roman"/>
                  <w:sz w:val="16"/>
                  <w:szCs w:val="16"/>
                  <w:lang w:val="en-GB"/>
                </w:rPr>
                <w:fldChar w:fldCharType="separate"/>
              </w:r>
              <w:r w:rsidR="005341B9">
                <w:rPr>
                  <w:rFonts w:ascii="Times New Roman" w:hAnsi="Times New Roman" w:cs="Times New Roman"/>
                  <w:noProof/>
                  <w:sz w:val="16"/>
                  <w:szCs w:val="16"/>
                  <w:lang w:val="en-GB"/>
                </w:rPr>
                <w:t>6</w:t>
              </w:r>
              <w:r w:rsidR="008D0BCA" w:rsidRPr="00D06170">
                <w:rPr>
                  <w:rFonts w:ascii="Times New Roman" w:hAnsi="Times New Roman" w:cs="Times New Roman"/>
                  <w:sz w:val="16"/>
                  <w:szCs w:val="16"/>
                  <w:lang w:val="en-GB"/>
                </w:rPr>
                <w:fldChar w:fldCharType="end"/>
              </w:r>
              <w:r w:rsidRPr="00D06170">
                <w:rPr>
                  <w:rFonts w:ascii="Times New Roman" w:hAnsi="Times New Roman" w:cs="Times New Roman"/>
                  <w:sz w:val="16"/>
                  <w:szCs w:val="16"/>
                  <w:lang w:val="en-GB"/>
                </w:rPr>
                <w:t xml:space="preserve"> of </w:t>
              </w:r>
              <w:r w:rsidR="008D0BCA" w:rsidRPr="00D06170">
                <w:rPr>
                  <w:rFonts w:ascii="Times New Roman" w:hAnsi="Times New Roman" w:cs="Times New Roman"/>
                  <w:sz w:val="16"/>
                  <w:szCs w:val="16"/>
                  <w:lang w:val="en-GB"/>
                </w:rPr>
                <w:fldChar w:fldCharType="begin"/>
              </w:r>
              <w:r w:rsidRPr="00D06170">
                <w:rPr>
                  <w:rFonts w:ascii="Times New Roman" w:hAnsi="Times New Roman" w:cs="Times New Roman"/>
                  <w:sz w:val="16"/>
                  <w:szCs w:val="16"/>
                  <w:lang w:val="en-GB"/>
                </w:rPr>
                <w:instrText xml:space="preserve"> NUMPAGES  </w:instrText>
              </w:r>
              <w:r w:rsidR="008D0BCA" w:rsidRPr="00D06170">
                <w:rPr>
                  <w:rFonts w:ascii="Times New Roman" w:hAnsi="Times New Roman" w:cs="Times New Roman"/>
                  <w:sz w:val="16"/>
                  <w:szCs w:val="16"/>
                  <w:lang w:val="en-GB"/>
                </w:rPr>
                <w:fldChar w:fldCharType="separate"/>
              </w:r>
              <w:r w:rsidR="005341B9">
                <w:rPr>
                  <w:rFonts w:ascii="Times New Roman" w:hAnsi="Times New Roman" w:cs="Times New Roman"/>
                  <w:noProof/>
                  <w:sz w:val="16"/>
                  <w:szCs w:val="16"/>
                  <w:lang w:val="en-GB"/>
                </w:rPr>
                <w:t>6</w:t>
              </w:r>
              <w:r w:rsidR="008D0BCA" w:rsidRPr="00D06170">
                <w:rPr>
                  <w:rFonts w:ascii="Times New Roman" w:hAnsi="Times New Roman" w:cs="Times New Roman"/>
                  <w:sz w:val="16"/>
                  <w:szCs w:val="16"/>
                  <w:lang w:val="en-GB"/>
                </w:rPr>
                <w:fldChar w:fldCharType="end"/>
              </w:r>
            </w:p>
          </w:sdtContent>
        </w:sdt>
        <w:p w:rsidR="00905279" w:rsidRPr="00D06170" w:rsidRDefault="00905279">
          <w:pPr>
            <w:pStyle w:val="Footer"/>
            <w:rPr>
              <w:rFonts w:ascii="Times New Roman" w:hAnsi="Times New Roman" w:cs="Times New Roman"/>
              <w:sz w:val="16"/>
              <w:szCs w:val="16"/>
              <w:lang w:val="en-GB"/>
            </w:rPr>
          </w:pPr>
        </w:p>
      </w:tc>
    </w:tr>
  </w:tbl>
  <w:p w:rsidR="00905279" w:rsidRDefault="00905279" w:rsidP="00043F35">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5B0" w:rsidRDefault="00F725B0" w:rsidP="00905279">
      <w:pPr>
        <w:spacing w:after="0" w:line="240" w:lineRule="auto"/>
      </w:pPr>
      <w:r>
        <w:separator/>
      </w:r>
    </w:p>
  </w:footnote>
  <w:footnote w:type="continuationSeparator" w:id="0">
    <w:p w:rsidR="00F725B0" w:rsidRDefault="00F725B0" w:rsidP="00905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FB5" w:rsidRDefault="00E05FB5">
    <w:pPr>
      <w:pStyle w:val="Header"/>
    </w:pPr>
  </w:p>
  <w:p w:rsidR="00E05FB5" w:rsidRDefault="00E05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91A9B"/>
    <w:multiLevelType w:val="multilevel"/>
    <w:tmpl w:val="DC92675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905FDB"/>
    <w:multiLevelType w:val="hybridMultilevel"/>
    <w:tmpl w:val="360A69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3F3C29"/>
    <w:multiLevelType w:val="hybridMultilevel"/>
    <w:tmpl w:val="74BCF3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F4082"/>
    <w:multiLevelType w:val="multilevel"/>
    <w:tmpl w:val="E1F0793A"/>
    <w:lvl w:ilvl="0">
      <w:start w:val="3"/>
      <w:numFmt w:val="decimal"/>
      <w:lvlText w:val="%1"/>
      <w:lvlJc w:val="left"/>
      <w:pPr>
        <w:ind w:left="480" w:hanging="480"/>
      </w:pPr>
      <w:rPr>
        <w:rFonts w:hint="default"/>
        <w:b/>
      </w:rPr>
    </w:lvl>
    <w:lvl w:ilvl="1">
      <w:start w:val="3"/>
      <w:numFmt w:val="decimal"/>
      <w:lvlText w:val="3.5.%2"/>
      <w:lvlJc w:val="left"/>
      <w:pPr>
        <w:ind w:left="634" w:hanging="480"/>
      </w:pPr>
      <w:rPr>
        <w:rFonts w:hint="default"/>
        <w:b/>
      </w:rPr>
    </w:lvl>
    <w:lvl w:ilvl="2">
      <w:start w:val="1"/>
      <w:numFmt w:val="decimal"/>
      <w:lvlText w:val="3.5.%3"/>
      <w:lvlJc w:val="left"/>
      <w:pPr>
        <w:ind w:left="1028" w:hanging="720"/>
      </w:pPr>
      <w:rPr>
        <w:rFonts w:hint="default"/>
        <w:b/>
      </w:rPr>
    </w:lvl>
    <w:lvl w:ilvl="3">
      <w:start w:val="1"/>
      <w:numFmt w:val="decimal"/>
      <w:lvlText w:val="%1.%2.%3.%4"/>
      <w:lvlJc w:val="left"/>
      <w:pPr>
        <w:ind w:left="1182" w:hanging="720"/>
      </w:pPr>
      <w:rPr>
        <w:rFonts w:hint="default"/>
        <w:b/>
      </w:rPr>
    </w:lvl>
    <w:lvl w:ilvl="4">
      <w:start w:val="1"/>
      <w:numFmt w:val="decimal"/>
      <w:lvlText w:val="%1.%2.%3.%4.%5"/>
      <w:lvlJc w:val="left"/>
      <w:pPr>
        <w:ind w:left="1696" w:hanging="1080"/>
      </w:pPr>
      <w:rPr>
        <w:rFonts w:hint="default"/>
        <w:b/>
      </w:rPr>
    </w:lvl>
    <w:lvl w:ilvl="5">
      <w:start w:val="1"/>
      <w:numFmt w:val="decimal"/>
      <w:lvlText w:val="%1.%2.%3.%4.%5.%6"/>
      <w:lvlJc w:val="left"/>
      <w:pPr>
        <w:ind w:left="1850" w:hanging="1080"/>
      </w:pPr>
      <w:rPr>
        <w:rFonts w:hint="default"/>
        <w:b/>
      </w:rPr>
    </w:lvl>
    <w:lvl w:ilvl="6">
      <w:start w:val="1"/>
      <w:numFmt w:val="decimal"/>
      <w:lvlText w:val="%1.%2.%3.%4.%5.%6.%7"/>
      <w:lvlJc w:val="left"/>
      <w:pPr>
        <w:ind w:left="2364" w:hanging="1440"/>
      </w:pPr>
      <w:rPr>
        <w:rFonts w:hint="default"/>
        <w:b/>
      </w:rPr>
    </w:lvl>
    <w:lvl w:ilvl="7">
      <w:start w:val="1"/>
      <w:numFmt w:val="decimal"/>
      <w:lvlText w:val="%1.%2.%3.%4.%5.%6.%7.%8"/>
      <w:lvlJc w:val="left"/>
      <w:pPr>
        <w:ind w:left="2518" w:hanging="1440"/>
      </w:pPr>
      <w:rPr>
        <w:rFonts w:hint="default"/>
        <w:b/>
      </w:rPr>
    </w:lvl>
    <w:lvl w:ilvl="8">
      <w:start w:val="1"/>
      <w:numFmt w:val="decimal"/>
      <w:lvlText w:val="%1.%2.%3.%4.%5.%6.%7.%8.%9"/>
      <w:lvlJc w:val="left"/>
      <w:pPr>
        <w:ind w:left="3032" w:hanging="1800"/>
      </w:pPr>
      <w:rPr>
        <w:rFonts w:hint="default"/>
        <w:b/>
      </w:rPr>
    </w:lvl>
  </w:abstractNum>
  <w:abstractNum w:abstractNumId="4">
    <w:nsid w:val="0D757F45"/>
    <w:multiLevelType w:val="hybridMultilevel"/>
    <w:tmpl w:val="37366E08"/>
    <w:lvl w:ilvl="0" w:tplc="A774A37A">
      <w:start w:val="1"/>
      <w:numFmt w:val="decimal"/>
      <w:lvlText w:val="%1."/>
      <w:lvlJc w:val="left"/>
      <w:pPr>
        <w:tabs>
          <w:tab w:val="num" w:pos="720"/>
        </w:tabs>
        <w:ind w:left="720" w:hanging="360"/>
      </w:pPr>
      <w:rPr>
        <w:rFonts w:hint="default"/>
      </w:rPr>
    </w:lvl>
    <w:lvl w:ilvl="1" w:tplc="05781F9A">
      <w:numFmt w:val="none"/>
      <w:lvlText w:val=""/>
      <w:lvlJc w:val="left"/>
      <w:pPr>
        <w:tabs>
          <w:tab w:val="num" w:pos="360"/>
        </w:tabs>
      </w:pPr>
    </w:lvl>
    <w:lvl w:ilvl="2" w:tplc="D334F2EE">
      <w:numFmt w:val="none"/>
      <w:lvlText w:val=""/>
      <w:lvlJc w:val="left"/>
      <w:pPr>
        <w:tabs>
          <w:tab w:val="num" w:pos="360"/>
        </w:tabs>
      </w:pPr>
    </w:lvl>
    <w:lvl w:ilvl="3" w:tplc="56DE158A">
      <w:numFmt w:val="none"/>
      <w:lvlText w:val=""/>
      <w:lvlJc w:val="left"/>
      <w:pPr>
        <w:tabs>
          <w:tab w:val="num" w:pos="360"/>
        </w:tabs>
      </w:pPr>
    </w:lvl>
    <w:lvl w:ilvl="4" w:tplc="ABAEBCD0">
      <w:numFmt w:val="none"/>
      <w:lvlText w:val=""/>
      <w:lvlJc w:val="left"/>
      <w:pPr>
        <w:tabs>
          <w:tab w:val="num" w:pos="360"/>
        </w:tabs>
      </w:pPr>
    </w:lvl>
    <w:lvl w:ilvl="5" w:tplc="312604AA">
      <w:numFmt w:val="none"/>
      <w:lvlText w:val=""/>
      <w:lvlJc w:val="left"/>
      <w:pPr>
        <w:tabs>
          <w:tab w:val="num" w:pos="360"/>
        </w:tabs>
      </w:pPr>
    </w:lvl>
    <w:lvl w:ilvl="6" w:tplc="58FA036A">
      <w:numFmt w:val="none"/>
      <w:lvlText w:val=""/>
      <w:lvlJc w:val="left"/>
      <w:pPr>
        <w:tabs>
          <w:tab w:val="num" w:pos="360"/>
        </w:tabs>
      </w:pPr>
    </w:lvl>
    <w:lvl w:ilvl="7" w:tplc="5B567954">
      <w:numFmt w:val="none"/>
      <w:lvlText w:val=""/>
      <w:lvlJc w:val="left"/>
      <w:pPr>
        <w:tabs>
          <w:tab w:val="num" w:pos="360"/>
        </w:tabs>
      </w:pPr>
    </w:lvl>
    <w:lvl w:ilvl="8" w:tplc="064CF6E8">
      <w:numFmt w:val="none"/>
      <w:lvlText w:val=""/>
      <w:lvlJc w:val="left"/>
      <w:pPr>
        <w:tabs>
          <w:tab w:val="num" w:pos="360"/>
        </w:tabs>
      </w:pPr>
    </w:lvl>
  </w:abstractNum>
  <w:abstractNum w:abstractNumId="5">
    <w:nsid w:val="15395605"/>
    <w:multiLevelType w:val="multilevel"/>
    <w:tmpl w:val="6024D040"/>
    <w:lvl w:ilvl="0">
      <w:start w:val="3"/>
      <w:numFmt w:val="decimal"/>
      <w:lvlText w:val="%1"/>
      <w:lvlJc w:val="left"/>
      <w:pPr>
        <w:ind w:left="480" w:hanging="480"/>
      </w:pPr>
      <w:rPr>
        <w:rFonts w:hint="default"/>
        <w:b/>
      </w:rPr>
    </w:lvl>
    <w:lvl w:ilvl="1">
      <w:start w:val="3"/>
      <w:numFmt w:val="decimal"/>
      <w:lvlText w:val="3.5.%2"/>
      <w:lvlJc w:val="left"/>
      <w:pPr>
        <w:ind w:left="634" w:hanging="480"/>
      </w:pPr>
      <w:rPr>
        <w:rFonts w:hint="default"/>
        <w:b/>
      </w:rPr>
    </w:lvl>
    <w:lvl w:ilvl="2">
      <w:start w:val="1"/>
      <w:numFmt w:val="decimal"/>
      <w:lvlText w:val="3.4.%3"/>
      <w:lvlJc w:val="left"/>
      <w:pPr>
        <w:ind w:left="1430" w:hanging="720"/>
      </w:pPr>
      <w:rPr>
        <w:rFonts w:hint="default"/>
        <w:b/>
      </w:rPr>
    </w:lvl>
    <w:lvl w:ilvl="3">
      <w:start w:val="1"/>
      <w:numFmt w:val="decimal"/>
      <w:lvlText w:val="%1.%2.%3.%4"/>
      <w:lvlJc w:val="left"/>
      <w:pPr>
        <w:ind w:left="1182" w:hanging="720"/>
      </w:pPr>
      <w:rPr>
        <w:rFonts w:hint="default"/>
        <w:b/>
      </w:rPr>
    </w:lvl>
    <w:lvl w:ilvl="4">
      <w:start w:val="1"/>
      <w:numFmt w:val="decimal"/>
      <w:lvlText w:val="%1.%2.%3.%4.%5"/>
      <w:lvlJc w:val="left"/>
      <w:pPr>
        <w:ind w:left="1696" w:hanging="1080"/>
      </w:pPr>
      <w:rPr>
        <w:rFonts w:hint="default"/>
        <w:b/>
      </w:rPr>
    </w:lvl>
    <w:lvl w:ilvl="5">
      <w:start w:val="1"/>
      <w:numFmt w:val="decimal"/>
      <w:lvlText w:val="%1.%2.%3.%4.%5.%6"/>
      <w:lvlJc w:val="left"/>
      <w:pPr>
        <w:ind w:left="1850" w:hanging="1080"/>
      </w:pPr>
      <w:rPr>
        <w:rFonts w:hint="default"/>
        <w:b/>
      </w:rPr>
    </w:lvl>
    <w:lvl w:ilvl="6">
      <w:start w:val="1"/>
      <w:numFmt w:val="decimal"/>
      <w:lvlText w:val="%1.%2.%3.%4.%5.%6.%7"/>
      <w:lvlJc w:val="left"/>
      <w:pPr>
        <w:ind w:left="2364" w:hanging="1440"/>
      </w:pPr>
      <w:rPr>
        <w:rFonts w:hint="default"/>
        <w:b/>
      </w:rPr>
    </w:lvl>
    <w:lvl w:ilvl="7">
      <w:start w:val="1"/>
      <w:numFmt w:val="decimal"/>
      <w:lvlText w:val="%1.%2.%3.%4.%5.%6.%7.%8"/>
      <w:lvlJc w:val="left"/>
      <w:pPr>
        <w:ind w:left="2518" w:hanging="1440"/>
      </w:pPr>
      <w:rPr>
        <w:rFonts w:hint="default"/>
        <w:b/>
      </w:rPr>
    </w:lvl>
    <w:lvl w:ilvl="8">
      <w:start w:val="1"/>
      <w:numFmt w:val="decimal"/>
      <w:lvlText w:val="%1.%2.%3.%4.%5.%6.%7.%8.%9"/>
      <w:lvlJc w:val="left"/>
      <w:pPr>
        <w:ind w:left="3032" w:hanging="1800"/>
      </w:pPr>
      <w:rPr>
        <w:rFonts w:hint="default"/>
        <w:b/>
      </w:rPr>
    </w:lvl>
  </w:abstractNum>
  <w:abstractNum w:abstractNumId="6">
    <w:nsid w:val="1DD93ACD"/>
    <w:multiLevelType w:val="hybridMultilevel"/>
    <w:tmpl w:val="67F6E410"/>
    <w:lvl w:ilvl="0" w:tplc="04090017">
      <w:start w:val="1"/>
      <w:numFmt w:val="lowerLetter"/>
      <w:lvlText w:val="%1)"/>
      <w:lvlJc w:val="left"/>
      <w:pPr>
        <w:ind w:left="720" w:hanging="360"/>
      </w:pPr>
    </w:lvl>
    <w:lvl w:ilvl="1" w:tplc="E2E63F2E">
      <w:start w:val="4"/>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70FC7"/>
    <w:multiLevelType w:val="hybridMultilevel"/>
    <w:tmpl w:val="CC207158"/>
    <w:lvl w:ilvl="0" w:tplc="EB1062E6">
      <w:start w:val="1"/>
      <w:numFmt w:val="lowerLetter"/>
      <w:lvlText w:val="%1)"/>
      <w:lvlJc w:val="left"/>
      <w:pPr>
        <w:ind w:left="720" w:hanging="360"/>
      </w:pPr>
      <w:rPr>
        <w:rFonts w:ascii="Times New Roman" w:hAnsi="Times New Roman" w:hint="default"/>
        <w:b w:val="0"/>
        <w:i w:val="0"/>
        <w:color w:val="auto"/>
        <w:w w:val="110"/>
        <w:sz w:val="24"/>
        <w:szCs w:val="22"/>
      </w:rPr>
    </w:lvl>
    <w:lvl w:ilvl="1" w:tplc="EB1062E6">
      <w:start w:val="1"/>
      <w:numFmt w:val="lowerLetter"/>
      <w:lvlText w:val="%2)"/>
      <w:lvlJc w:val="left"/>
      <w:pPr>
        <w:ind w:left="1440" w:hanging="360"/>
      </w:pPr>
      <w:rPr>
        <w:rFonts w:ascii="Times New Roman" w:hAnsi="Times New Roman" w:hint="default"/>
        <w:b w:val="0"/>
        <w:i w:val="0"/>
        <w:color w:val="auto"/>
        <w:w w:val="110"/>
        <w:sz w:val="24"/>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4A31321"/>
    <w:multiLevelType w:val="hybridMultilevel"/>
    <w:tmpl w:val="BFDE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1F7C0E"/>
    <w:multiLevelType w:val="hybridMultilevel"/>
    <w:tmpl w:val="D610CDE6"/>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D01046"/>
    <w:multiLevelType w:val="multilevel"/>
    <w:tmpl w:val="D02CAA6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AD21DB0"/>
    <w:multiLevelType w:val="hybridMultilevel"/>
    <w:tmpl w:val="5A06F1AE"/>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8A62D38"/>
    <w:multiLevelType w:val="hybridMultilevel"/>
    <w:tmpl w:val="DEBEB7B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nsid w:val="608C1309"/>
    <w:multiLevelType w:val="multilevel"/>
    <w:tmpl w:val="B580885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61D3D22"/>
    <w:multiLevelType w:val="hybridMultilevel"/>
    <w:tmpl w:val="20AA72AC"/>
    <w:lvl w:ilvl="0" w:tplc="EB1062E6">
      <w:start w:val="1"/>
      <w:numFmt w:val="lowerLetter"/>
      <w:lvlText w:val="%1)"/>
      <w:lvlJc w:val="left"/>
      <w:pPr>
        <w:ind w:left="720" w:hanging="360"/>
      </w:pPr>
      <w:rPr>
        <w:rFonts w:ascii="Times New Roman" w:hAnsi="Times New Roman" w:hint="default"/>
        <w:b w:val="0"/>
        <w:i w:val="0"/>
        <w:color w:val="auto"/>
        <w:w w:val="110"/>
        <w:sz w:val="24"/>
        <w:szCs w:val="22"/>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5A46EF4"/>
    <w:multiLevelType w:val="multilevel"/>
    <w:tmpl w:val="0D3AEBC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AD2181D"/>
    <w:multiLevelType w:val="hybridMultilevel"/>
    <w:tmpl w:val="89E2080A"/>
    <w:lvl w:ilvl="0" w:tplc="D6C028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
  </w:num>
  <w:num w:numId="4">
    <w:abstractNumId w:val="0"/>
  </w:num>
  <w:num w:numId="5">
    <w:abstractNumId w:val="13"/>
  </w:num>
  <w:num w:numId="6">
    <w:abstractNumId w:val="11"/>
  </w:num>
  <w:num w:numId="7">
    <w:abstractNumId w:val="4"/>
  </w:num>
  <w:num w:numId="8">
    <w:abstractNumId w:val="15"/>
  </w:num>
  <w:num w:numId="9">
    <w:abstractNumId w:val="16"/>
  </w:num>
  <w:num w:numId="10">
    <w:abstractNumId w:val="5"/>
  </w:num>
  <w:num w:numId="11">
    <w:abstractNumId w:val="6"/>
  </w:num>
  <w:num w:numId="12">
    <w:abstractNumId w:val="10"/>
  </w:num>
  <w:num w:numId="13">
    <w:abstractNumId w:val="3"/>
  </w:num>
  <w:num w:numId="14">
    <w:abstractNumId w:val="14"/>
  </w:num>
  <w:num w:numId="15">
    <w:abstractNumId w:val="7"/>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2D"/>
    <w:rsid w:val="000043EC"/>
    <w:rsid w:val="00032506"/>
    <w:rsid w:val="00043F35"/>
    <w:rsid w:val="0004566B"/>
    <w:rsid w:val="00093877"/>
    <w:rsid w:val="000A39CB"/>
    <w:rsid w:val="00113DFF"/>
    <w:rsid w:val="0011665A"/>
    <w:rsid w:val="0012307F"/>
    <w:rsid w:val="0017299A"/>
    <w:rsid w:val="00182B7B"/>
    <w:rsid w:val="001921E7"/>
    <w:rsid w:val="001B438F"/>
    <w:rsid w:val="001D2622"/>
    <w:rsid w:val="001D5158"/>
    <w:rsid w:val="001F7289"/>
    <w:rsid w:val="00207EF5"/>
    <w:rsid w:val="00234447"/>
    <w:rsid w:val="00241934"/>
    <w:rsid w:val="00253F71"/>
    <w:rsid w:val="002571C6"/>
    <w:rsid w:val="002661F5"/>
    <w:rsid w:val="002912C0"/>
    <w:rsid w:val="002D1AB9"/>
    <w:rsid w:val="002F48ED"/>
    <w:rsid w:val="003649C9"/>
    <w:rsid w:val="003842FD"/>
    <w:rsid w:val="00392519"/>
    <w:rsid w:val="00397A57"/>
    <w:rsid w:val="003A7D61"/>
    <w:rsid w:val="003E4151"/>
    <w:rsid w:val="003E54CB"/>
    <w:rsid w:val="003F10F8"/>
    <w:rsid w:val="00427B62"/>
    <w:rsid w:val="00440895"/>
    <w:rsid w:val="004545B3"/>
    <w:rsid w:val="00474159"/>
    <w:rsid w:val="00475E4E"/>
    <w:rsid w:val="0048208F"/>
    <w:rsid w:val="004A4050"/>
    <w:rsid w:val="004B398B"/>
    <w:rsid w:val="004B3AD0"/>
    <w:rsid w:val="004B65EB"/>
    <w:rsid w:val="004B666D"/>
    <w:rsid w:val="004C5DFD"/>
    <w:rsid w:val="004C72AD"/>
    <w:rsid w:val="004D62C8"/>
    <w:rsid w:val="004D6C90"/>
    <w:rsid w:val="004F0B2E"/>
    <w:rsid w:val="005341B9"/>
    <w:rsid w:val="00545012"/>
    <w:rsid w:val="00580F6A"/>
    <w:rsid w:val="0058643A"/>
    <w:rsid w:val="005B1D57"/>
    <w:rsid w:val="005C61E7"/>
    <w:rsid w:val="005D15BC"/>
    <w:rsid w:val="005F28AE"/>
    <w:rsid w:val="00601046"/>
    <w:rsid w:val="00630583"/>
    <w:rsid w:val="0064213B"/>
    <w:rsid w:val="00646822"/>
    <w:rsid w:val="00685C2D"/>
    <w:rsid w:val="0068755C"/>
    <w:rsid w:val="00691AB9"/>
    <w:rsid w:val="0069378C"/>
    <w:rsid w:val="006B07DF"/>
    <w:rsid w:val="006B5FB9"/>
    <w:rsid w:val="006C5822"/>
    <w:rsid w:val="006E25B0"/>
    <w:rsid w:val="006E72F4"/>
    <w:rsid w:val="00773F70"/>
    <w:rsid w:val="00792045"/>
    <w:rsid w:val="007960D8"/>
    <w:rsid w:val="00806311"/>
    <w:rsid w:val="00810E42"/>
    <w:rsid w:val="008354D0"/>
    <w:rsid w:val="00844668"/>
    <w:rsid w:val="008577EF"/>
    <w:rsid w:val="00897746"/>
    <w:rsid w:val="008A0299"/>
    <w:rsid w:val="008A06F4"/>
    <w:rsid w:val="008A2ADE"/>
    <w:rsid w:val="008B0857"/>
    <w:rsid w:val="008D0BCA"/>
    <w:rsid w:val="008E135C"/>
    <w:rsid w:val="008F433E"/>
    <w:rsid w:val="00904B37"/>
    <w:rsid w:val="00905279"/>
    <w:rsid w:val="00906795"/>
    <w:rsid w:val="009539CA"/>
    <w:rsid w:val="00957EE2"/>
    <w:rsid w:val="00961BB9"/>
    <w:rsid w:val="00967B25"/>
    <w:rsid w:val="00982F06"/>
    <w:rsid w:val="00986F57"/>
    <w:rsid w:val="00990E97"/>
    <w:rsid w:val="00994B1E"/>
    <w:rsid w:val="009A56F9"/>
    <w:rsid w:val="009D2C5D"/>
    <w:rsid w:val="009D78AC"/>
    <w:rsid w:val="009E60DB"/>
    <w:rsid w:val="00A20214"/>
    <w:rsid w:val="00A24952"/>
    <w:rsid w:val="00A3175B"/>
    <w:rsid w:val="00A46818"/>
    <w:rsid w:val="00A469D8"/>
    <w:rsid w:val="00A55E5A"/>
    <w:rsid w:val="00A735C0"/>
    <w:rsid w:val="00A81ADE"/>
    <w:rsid w:val="00A96FC0"/>
    <w:rsid w:val="00AA651C"/>
    <w:rsid w:val="00AB0E1B"/>
    <w:rsid w:val="00AB7101"/>
    <w:rsid w:val="00AF6E99"/>
    <w:rsid w:val="00B02EF4"/>
    <w:rsid w:val="00B20A90"/>
    <w:rsid w:val="00B37457"/>
    <w:rsid w:val="00B4171D"/>
    <w:rsid w:val="00BB6265"/>
    <w:rsid w:val="00BD6AB7"/>
    <w:rsid w:val="00C15906"/>
    <w:rsid w:val="00C2507A"/>
    <w:rsid w:val="00C268D8"/>
    <w:rsid w:val="00C30EDB"/>
    <w:rsid w:val="00C36653"/>
    <w:rsid w:val="00C80978"/>
    <w:rsid w:val="00C97A85"/>
    <w:rsid w:val="00CB1828"/>
    <w:rsid w:val="00CE78EC"/>
    <w:rsid w:val="00CF05EA"/>
    <w:rsid w:val="00CF09CB"/>
    <w:rsid w:val="00CF1A33"/>
    <w:rsid w:val="00D0482D"/>
    <w:rsid w:val="00D0536F"/>
    <w:rsid w:val="00D06170"/>
    <w:rsid w:val="00D11064"/>
    <w:rsid w:val="00D12D94"/>
    <w:rsid w:val="00D3126F"/>
    <w:rsid w:val="00D4029A"/>
    <w:rsid w:val="00D45F5C"/>
    <w:rsid w:val="00D50148"/>
    <w:rsid w:val="00D57EF6"/>
    <w:rsid w:val="00D60B99"/>
    <w:rsid w:val="00D65DFA"/>
    <w:rsid w:val="00D756D7"/>
    <w:rsid w:val="00D75A4D"/>
    <w:rsid w:val="00D84421"/>
    <w:rsid w:val="00DA561B"/>
    <w:rsid w:val="00DC1044"/>
    <w:rsid w:val="00DD1353"/>
    <w:rsid w:val="00DD7207"/>
    <w:rsid w:val="00DF14FC"/>
    <w:rsid w:val="00DF1772"/>
    <w:rsid w:val="00E05AE2"/>
    <w:rsid w:val="00E05FB5"/>
    <w:rsid w:val="00E23B72"/>
    <w:rsid w:val="00E44D62"/>
    <w:rsid w:val="00E458F3"/>
    <w:rsid w:val="00E46310"/>
    <w:rsid w:val="00E5158A"/>
    <w:rsid w:val="00E565CA"/>
    <w:rsid w:val="00E63412"/>
    <w:rsid w:val="00EB76DD"/>
    <w:rsid w:val="00EC1213"/>
    <w:rsid w:val="00ED0887"/>
    <w:rsid w:val="00EF0C98"/>
    <w:rsid w:val="00F00CAA"/>
    <w:rsid w:val="00F0196E"/>
    <w:rsid w:val="00F06FD1"/>
    <w:rsid w:val="00F174B1"/>
    <w:rsid w:val="00F26FCF"/>
    <w:rsid w:val="00F403AA"/>
    <w:rsid w:val="00F65E7A"/>
    <w:rsid w:val="00F725B0"/>
    <w:rsid w:val="00F87317"/>
    <w:rsid w:val="00F97BD8"/>
    <w:rsid w:val="00FA2E99"/>
    <w:rsid w:val="00FD0594"/>
    <w:rsid w:val="00FF66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C1BAC-3AB7-4ED1-8320-904DD19D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FA"/>
  </w:style>
  <w:style w:type="paragraph" w:styleId="Heading1">
    <w:name w:val="heading 1"/>
    <w:basedOn w:val="Normal"/>
    <w:next w:val="Normal"/>
    <w:link w:val="Heading1Char"/>
    <w:uiPriority w:val="9"/>
    <w:qFormat/>
    <w:rsid w:val="00DA5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48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4952"/>
    <w:rPr>
      <w:color w:val="0000FF"/>
      <w:u w:val="single"/>
    </w:rPr>
  </w:style>
  <w:style w:type="paragraph" w:styleId="Header">
    <w:name w:val="header"/>
    <w:basedOn w:val="Normal"/>
    <w:link w:val="HeaderChar"/>
    <w:uiPriority w:val="99"/>
    <w:unhideWhenUsed/>
    <w:rsid w:val="00905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279"/>
  </w:style>
  <w:style w:type="paragraph" w:styleId="Footer">
    <w:name w:val="footer"/>
    <w:basedOn w:val="Normal"/>
    <w:link w:val="FooterChar"/>
    <w:uiPriority w:val="99"/>
    <w:unhideWhenUsed/>
    <w:rsid w:val="00905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279"/>
  </w:style>
  <w:style w:type="paragraph" w:styleId="BalloonText">
    <w:name w:val="Balloon Text"/>
    <w:basedOn w:val="Normal"/>
    <w:link w:val="BalloonTextChar"/>
    <w:uiPriority w:val="99"/>
    <w:semiHidden/>
    <w:unhideWhenUsed/>
    <w:rsid w:val="0090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279"/>
    <w:rPr>
      <w:rFonts w:ascii="Tahoma" w:hAnsi="Tahoma" w:cs="Tahoma"/>
      <w:sz w:val="16"/>
      <w:szCs w:val="16"/>
    </w:rPr>
  </w:style>
  <w:style w:type="character" w:customStyle="1" w:styleId="Heading1Char">
    <w:name w:val="Heading 1 Char"/>
    <w:basedOn w:val="DefaultParagraphFont"/>
    <w:link w:val="Heading1"/>
    <w:uiPriority w:val="9"/>
    <w:rsid w:val="00DA561B"/>
    <w:rPr>
      <w:rFonts w:asciiTheme="majorHAnsi" w:eastAsiaTheme="majorEastAsia" w:hAnsiTheme="majorHAnsi" w:cstheme="majorBidi"/>
      <w:b/>
      <w:bCs/>
      <w:color w:val="365F91" w:themeColor="accent1" w:themeShade="BF"/>
      <w:sz w:val="28"/>
      <w:szCs w:val="28"/>
    </w:rPr>
  </w:style>
  <w:style w:type="character" w:customStyle="1" w:styleId="hps">
    <w:name w:val="hps"/>
    <w:rsid w:val="001B438F"/>
  </w:style>
  <w:style w:type="paragraph" w:customStyle="1" w:styleId="Default">
    <w:name w:val="Default"/>
    <w:rsid w:val="001B438F"/>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paragraph" w:styleId="ListParagraph">
    <w:name w:val="List Paragraph"/>
    <w:basedOn w:val="Normal"/>
    <w:uiPriority w:val="34"/>
    <w:qFormat/>
    <w:rsid w:val="001921E7"/>
    <w:pPr>
      <w:ind w:left="720"/>
      <w:contextualSpacing/>
    </w:pPr>
  </w:style>
  <w:style w:type="paragraph" w:styleId="TOCHeading">
    <w:name w:val="TOC Heading"/>
    <w:basedOn w:val="Heading1"/>
    <w:next w:val="Normal"/>
    <w:uiPriority w:val="39"/>
    <w:semiHidden/>
    <w:unhideWhenUsed/>
    <w:qFormat/>
    <w:rsid w:val="00982F06"/>
    <w:pPr>
      <w:outlineLvl w:val="9"/>
    </w:pPr>
    <w:rPr>
      <w:lang w:val="en-US"/>
    </w:rPr>
  </w:style>
  <w:style w:type="paragraph" w:styleId="TOC1">
    <w:name w:val="toc 1"/>
    <w:basedOn w:val="Normal"/>
    <w:next w:val="Normal"/>
    <w:autoRedefine/>
    <w:uiPriority w:val="39"/>
    <w:unhideWhenUsed/>
    <w:rsid w:val="00982F06"/>
    <w:pPr>
      <w:spacing w:after="100"/>
    </w:pPr>
  </w:style>
  <w:style w:type="character" w:styleId="Strong">
    <w:name w:val="Strong"/>
    <w:qFormat/>
    <w:rsid w:val="00D0482D"/>
    <w:rPr>
      <w:b/>
      <w:bCs/>
    </w:rPr>
  </w:style>
  <w:style w:type="paragraph" w:customStyle="1" w:styleId="BodytekstUK">
    <w:name w:val="BodytekstUK"/>
    <w:basedOn w:val="Normal"/>
    <w:link w:val="BodytekstUKChar"/>
    <w:rsid w:val="00D0482D"/>
    <w:pPr>
      <w:spacing w:after="120" w:line="300" w:lineRule="auto"/>
    </w:pPr>
    <w:rPr>
      <w:rFonts w:ascii="Arial" w:eastAsia="Times New Roman" w:hAnsi="Arial" w:cs="Times New Roman"/>
      <w:sz w:val="20"/>
      <w:szCs w:val="20"/>
      <w:lang w:val="en-GB" w:eastAsia="nl-NL"/>
    </w:rPr>
  </w:style>
  <w:style w:type="character" w:customStyle="1" w:styleId="BodytekstUKChar">
    <w:name w:val="BodytekstUK Char"/>
    <w:link w:val="BodytekstUK"/>
    <w:rsid w:val="00D0482D"/>
    <w:rPr>
      <w:rFonts w:ascii="Arial" w:eastAsia="Times New Roman" w:hAnsi="Arial" w:cs="Times New Roman"/>
      <w:sz w:val="20"/>
      <w:szCs w:val="20"/>
      <w:lang w:val="en-GB" w:eastAsia="nl-NL"/>
    </w:rPr>
  </w:style>
  <w:style w:type="paragraph" w:styleId="NormalWeb">
    <w:name w:val="Normal (Web)"/>
    <w:basedOn w:val="Normal"/>
    <w:rsid w:val="00B417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81ADE"/>
    <w:rPr>
      <w:sz w:val="16"/>
      <w:szCs w:val="16"/>
    </w:rPr>
  </w:style>
  <w:style w:type="paragraph" w:styleId="CommentText">
    <w:name w:val="annotation text"/>
    <w:basedOn w:val="Normal"/>
    <w:link w:val="CommentTextChar"/>
    <w:uiPriority w:val="99"/>
    <w:semiHidden/>
    <w:unhideWhenUsed/>
    <w:rsid w:val="00A81ADE"/>
    <w:pPr>
      <w:spacing w:line="240" w:lineRule="auto"/>
    </w:pPr>
    <w:rPr>
      <w:sz w:val="20"/>
      <w:szCs w:val="20"/>
    </w:rPr>
  </w:style>
  <w:style w:type="character" w:customStyle="1" w:styleId="CommentTextChar">
    <w:name w:val="Comment Text Char"/>
    <w:basedOn w:val="DefaultParagraphFont"/>
    <w:link w:val="CommentText"/>
    <w:uiPriority w:val="99"/>
    <w:semiHidden/>
    <w:rsid w:val="00A81ADE"/>
    <w:rPr>
      <w:sz w:val="20"/>
      <w:szCs w:val="20"/>
    </w:rPr>
  </w:style>
  <w:style w:type="paragraph" w:styleId="CommentSubject">
    <w:name w:val="annotation subject"/>
    <w:basedOn w:val="CommentText"/>
    <w:next w:val="CommentText"/>
    <w:link w:val="CommentSubjectChar"/>
    <w:uiPriority w:val="99"/>
    <w:semiHidden/>
    <w:unhideWhenUsed/>
    <w:rsid w:val="00A81ADE"/>
    <w:rPr>
      <w:b/>
      <w:bCs/>
    </w:rPr>
  </w:style>
  <w:style w:type="character" w:customStyle="1" w:styleId="CommentSubjectChar">
    <w:name w:val="Comment Subject Char"/>
    <w:basedOn w:val="CommentTextChar"/>
    <w:link w:val="CommentSubject"/>
    <w:uiPriority w:val="99"/>
    <w:semiHidden/>
    <w:rsid w:val="00A81ADE"/>
    <w:rPr>
      <w:b/>
      <w:bCs/>
      <w:sz w:val="20"/>
      <w:szCs w:val="20"/>
    </w:rPr>
  </w:style>
  <w:style w:type="character" w:customStyle="1" w:styleId="Heading2Char">
    <w:name w:val="Heading 2 Char"/>
    <w:basedOn w:val="DefaultParagraphFont"/>
    <w:link w:val="Heading2"/>
    <w:uiPriority w:val="9"/>
    <w:rsid w:val="002F48ED"/>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5341B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AFA97-7E9E-4F0B-ACE5-B0A461B7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1291</Words>
  <Characters>7360</Characters>
  <Application>Microsoft Office Word</Application>
  <DocSecurity>0</DocSecurity>
  <Lines>61</Lines>
  <Paragraphs>17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Ardiana Krrabaj</dc:creator>
  <cp:keywords/>
  <dc:description/>
  <cp:lastModifiedBy>Valmira Bedri. Sejdiu</cp:lastModifiedBy>
  <cp:revision>15</cp:revision>
  <cp:lastPrinted>2015-12-07T08:10:00Z</cp:lastPrinted>
  <dcterms:created xsi:type="dcterms:W3CDTF">2019-10-18T09:45:00Z</dcterms:created>
  <dcterms:modified xsi:type="dcterms:W3CDTF">2019-11-18T13:28:00Z</dcterms:modified>
</cp:coreProperties>
</file>