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618"/>
      </w:tblGrid>
      <w:tr w:rsidR="00A24952" w:rsidRPr="00DE678A" w14:paraId="0DB468C2" w14:textId="77777777" w:rsidTr="00C92185">
        <w:tc>
          <w:tcPr>
            <w:tcW w:w="3019" w:type="dxa"/>
          </w:tcPr>
          <w:p w14:paraId="03DC2973" w14:textId="77777777" w:rsidR="00A24952" w:rsidRPr="00DE678A" w:rsidRDefault="00A24952" w:rsidP="00A24952">
            <w:pPr>
              <w:rPr>
                <w:rFonts w:ascii="Times New Roman" w:hAnsi="Times New Roman" w:cs="Times New Roman"/>
                <w:color w:val="000000" w:themeColor="text1"/>
                <w:lang w:val="en-GB"/>
              </w:rPr>
            </w:pPr>
          </w:p>
        </w:tc>
        <w:tc>
          <w:tcPr>
            <w:tcW w:w="6618" w:type="dxa"/>
          </w:tcPr>
          <w:p w14:paraId="302EC7D1" w14:textId="77777777" w:rsidR="00A24952" w:rsidRPr="00DE678A" w:rsidRDefault="00A24952" w:rsidP="00A24952">
            <w:pPr>
              <w:jc w:val="center"/>
              <w:rPr>
                <w:rFonts w:ascii="Times New Roman" w:hAnsi="Times New Roman" w:cs="Times New Roman"/>
                <w:color w:val="000000" w:themeColor="text1"/>
                <w:lang w:val="en-GB"/>
              </w:rPr>
            </w:pPr>
          </w:p>
        </w:tc>
      </w:tr>
    </w:tbl>
    <w:p w14:paraId="5D23870F" w14:textId="77777777" w:rsidR="00D65DFA" w:rsidRPr="00DE678A" w:rsidRDefault="00C92185">
      <w:pPr>
        <w:rPr>
          <w:rFonts w:ascii="Times New Roman" w:hAnsi="Times New Roman" w:cs="Times New Roman"/>
          <w:color w:val="000000" w:themeColor="text1"/>
          <w:lang w:val="en-GB"/>
        </w:rPr>
      </w:pPr>
      <w:r>
        <w:rPr>
          <w:rFonts w:cs="Times New Roman"/>
          <w:noProof/>
          <w:color w:val="000000"/>
          <w:lang w:eastAsia="sq-AL"/>
        </w:rPr>
        <w:drawing>
          <wp:inline distT="0" distB="0" distL="0" distR="0" wp14:anchorId="70CB4AD5" wp14:editId="4202BFB8">
            <wp:extent cx="11525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pic:spPr>
                </pic:pic>
              </a:graphicData>
            </a:graphic>
          </wp:inline>
        </w:drawing>
      </w:r>
    </w:p>
    <w:p w14:paraId="37012736" w14:textId="77777777" w:rsidR="00A24952" w:rsidRPr="00DE678A" w:rsidRDefault="00A24952">
      <w:pPr>
        <w:rPr>
          <w:rFonts w:ascii="Times New Roman" w:hAnsi="Times New Roman" w:cs="Times New Roman"/>
          <w:color w:val="000000" w:themeColor="text1"/>
          <w:lang w:val="en-GB"/>
        </w:rPr>
      </w:pPr>
    </w:p>
    <w:p w14:paraId="424A1783" w14:textId="77777777" w:rsidR="00A24952" w:rsidRPr="00DE678A" w:rsidRDefault="00A24952">
      <w:pPr>
        <w:rPr>
          <w:rFonts w:ascii="Times New Roman" w:hAnsi="Times New Roman" w:cs="Times New Roman"/>
          <w:color w:val="000000" w:themeColor="text1"/>
          <w:lang w:val="en-GB"/>
        </w:rPr>
      </w:pPr>
    </w:p>
    <w:p w14:paraId="2F74CEB6" w14:textId="77777777" w:rsidR="00A24952" w:rsidRPr="00DE678A" w:rsidRDefault="00A24952">
      <w:pPr>
        <w:rPr>
          <w:rFonts w:ascii="Times New Roman" w:hAnsi="Times New Roman" w:cs="Times New Roman"/>
          <w:color w:val="000000" w:themeColor="text1"/>
          <w:lang w:val="en-GB"/>
        </w:rPr>
      </w:pPr>
    </w:p>
    <w:p w14:paraId="2F2AF8F4" w14:textId="77777777" w:rsidR="00905279" w:rsidRPr="00DE678A" w:rsidRDefault="00905279">
      <w:pPr>
        <w:rPr>
          <w:rFonts w:ascii="Times New Roman" w:hAnsi="Times New Roman" w:cs="Times New Roman"/>
          <w:color w:val="000000" w:themeColor="text1"/>
          <w:lang w:val="en-GB"/>
        </w:rPr>
      </w:pPr>
    </w:p>
    <w:p w14:paraId="1E9D8481" w14:textId="77777777" w:rsidR="00905279" w:rsidRPr="00DE678A" w:rsidRDefault="00905279">
      <w:pPr>
        <w:rPr>
          <w:rFonts w:ascii="Times New Roman" w:hAnsi="Times New Roman" w:cs="Times New Roman"/>
          <w:color w:val="000000" w:themeColor="text1"/>
          <w:lang w:val="en-GB"/>
        </w:rPr>
      </w:pPr>
    </w:p>
    <w:p w14:paraId="1BF116DE" w14:textId="77777777" w:rsidR="00905279" w:rsidRPr="00DE678A" w:rsidRDefault="00905279">
      <w:pPr>
        <w:rPr>
          <w:rFonts w:ascii="Times New Roman" w:hAnsi="Times New Roman" w:cs="Times New Roman"/>
          <w:color w:val="000000" w:themeColor="text1"/>
          <w:lang w:val="en-GB"/>
        </w:rPr>
      </w:pPr>
    </w:p>
    <w:p w14:paraId="0B06F980" w14:textId="77777777" w:rsidR="00905279" w:rsidRDefault="00905279">
      <w:pPr>
        <w:rPr>
          <w:rFonts w:ascii="Times New Roman" w:hAnsi="Times New Roman" w:cs="Times New Roman"/>
          <w:color w:val="000000" w:themeColor="text1"/>
          <w:lang w:val="en-GB"/>
        </w:rPr>
      </w:pPr>
    </w:p>
    <w:p w14:paraId="5B6A2621" w14:textId="77777777" w:rsidR="00A643F7" w:rsidRDefault="00A643F7">
      <w:pPr>
        <w:rPr>
          <w:rFonts w:ascii="Times New Roman" w:hAnsi="Times New Roman" w:cs="Times New Roman"/>
          <w:color w:val="000000" w:themeColor="text1"/>
          <w:lang w:val="en-GB"/>
        </w:rPr>
      </w:pPr>
    </w:p>
    <w:p w14:paraId="1245ADC3" w14:textId="77777777" w:rsidR="00A643F7" w:rsidRPr="00DE678A" w:rsidRDefault="00A643F7">
      <w:pPr>
        <w:rPr>
          <w:rFonts w:ascii="Times New Roman" w:hAnsi="Times New Roman" w:cs="Times New Roman"/>
          <w:color w:val="000000" w:themeColor="text1"/>
          <w:lang w:val="en-GB"/>
        </w:rPr>
      </w:pPr>
    </w:p>
    <w:p w14:paraId="259E557B" w14:textId="77777777" w:rsidR="00905279" w:rsidRPr="00DE678A" w:rsidRDefault="00905279" w:rsidP="00905279">
      <w:pPr>
        <w:jc w:val="center"/>
        <w:rPr>
          <w:rFonts w:ascii="Times New Roman" w:hAnsi="Times New Roman" w:cs="Times New Roman"/>
          <w:color w:val="000000" w:themeColor="text1"/>
          <w:lang w:val="en-GB"/>
        </w:rPr>
      </w:pPr>
    </w:p>
    <w:p w14:paraId="46420914" w14:textId="77777777" w:rsidR="00905279" w:rsidRPr="00DE678A" w:rsidRDefault="00905279" w:rsidP="00905279">
      <w:pPr>
        <w:jc w:val="center"/>
        <w:rPr>
          <w:rFonts w:ascii="Times New Roman" w:hAnsi="Times New Roman" w:cs="Times New Roman"/>
          <w:color w:val="000000" w:themeColor="text1"/>
          <w:lang w:val="en-GB"/>
        </w:rPr>
      </w:pPr>
    </w:p>
    <w:p w14:paraId="6E632359" w14:textId="77777777" w:rsidR="00241934" w:rsidRPr="00DE678A" w:rsidRDefault="00241934" w:rsidP="004D6C90">
      <w:pPr>
        <w:spacing w:after="0" w:line="240" w:lineRule="auto"/>
        <w:jc w:val="center"/>
        <w:rPr>
          <w:rFonts w:ascii="Times New Roman" w:hAnsi="Times New Roman" w:cs="Times New Roman"/>
          <w:b/>
          <w:color w:val="000000" w:themeColor="text1"/>
          <w:sz w:val="32"/>
          <w:szCs w:val="32"/>
          <w:lang w:val="en-GB"/>
        </w:rPr>
      </w:pPr>
      <w:r w:rsidRPr="00DE678A">
        <w:rPr>
          <w:rFonts w:ascii="Times New Roman" w:hAnsi="Times New Roman" w:cs="Times New Roman"/>
          <w:b/>
          <w:color w:val="000000" w:themeColor="text1"/>
          <w:sz w:val="32"/>
          <w:szCs w:val="32"/>
          <w:lang w:val="en-GB"/>
        </w:rPr>
        <w:t>POLICY</w:t>
      </w:r>
      <w:r w:rsidR="00D0482D" w:rsidRPr="00DE678A">
        <w:rPr>
          <w:rFonts w:ascii="Times New Roman" w:hAnsi="Times New Roman" w:cs="Times New Roman"/>
          <w:b/>
          <w:color w:val="000000" w:themeColor="text1"/>
          <w:sz w:val="32"/>
          <w:szCs w:val="32"/>
          <w:lang w:val="en-GB"/>
        </w:rPr>
        <w:t xml:space="preserve"> O</w:t>
      </w:r>
      <w:r w:rsidR="004D6C90" w:rsidRPr="00DE678A">
        <w:rPr>
          <w:rFonts w:ascii="Times New Roman" w:hAnsi="Times New Roman" w:cs="Times New Roman"/>
          <w:b/>
          <w:color w:val="000000" w:themeColor="text1"/>
          <w:sz w:val="32"/>
          <w:szCs w:val="32"/>
          <w:lang w:val="en-GB"/>
        </w:rPr>
        <w:t>N</w:t>
      </w:r>
      <w:r w:rsidR="00D0482D" w:rsidRPr="00DE678A">
        <w:rPr>
          <w:rFonts w:ascii="Times New Roman" w:hAnsi="Times New Roman" w:cs="Times New Roman"/>
          <w:b/>
          <w:color w:val="000000" w:themeColor="text1"/>
          <w:sz w:val="32"/>
          <w:szCs w:val="32"/>
          <w:lang w:val="en-GB"/>
        </w:rPr>
        <w:t xml:space="preserve"> ASSESSMENT</w:t>
      </w:r>
      <w:r w:rsidRPr="00DE678A">
        <w:rPr>
          <w:rFonts w:ascii="Times New Roman" w:hAnsi="Times New Roman" w:cs="Times New Roman"/>
          <w:b/>
          <w:color w:val="000000" w:themeColor="text1"/>
          <w:sz w:val="32"/>
          <w:szCs w:val="32"/>
          <w:lang w:val="en-GB"/>
        </w:rPr>
        <w:t xml:space="preserve"> </w:t>
      </w:r>
    </w:p>
    <w:p w14:paraId="6C4FFA6D" w14:textId="77777777" w:rsidR="00DA561B" w:rsidRPr="00DE678A" w:rsidRDefault="00DA561B" w:rsidP="00D0482D">
      <w:pPr>
        <w:spacing w:after="0" w:line="240" w:lineRule="auto"/>
        <w:jc w:val="center"/>
        <w:rPr>
          <w:rFonts w:ascii="Times New Roman" w:hAnsi="Times New Roman" w:cs="Times New Roman"/>
          <w:b/>
          <w:color w:val="000000" w:themeColor="text1"/>
          <w:sz w:val="32"/>
          <w:szCs w:val="32"/>
          <w:lang w:val="en-GB"/>
        </w:rPr>
      </w:pPr>
    </w:p>
    <w:p w14:paraId="5347136B" w14:textId="77777777" w:rsidR="00905279" w:rsidRPr="00DE678A" w:rsidRDefault="000047AC" w:rsidP="00D0482D">
      <w:pPr>
        <w:jc w:val="center"/>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DAK-PO-0</w:t>
      </w:r>
      <w:r w:rsidR="00D0482D" w:rsidRPr="00DE678A">
        <w:rPr>
          <w:rFonts w:ascii="Times New Roman" w:hAnsi="Times New Roman" w:cs="Times New Roman"/>
          <w:b/>
          <w:color w:val="000000" w:themeColor="text1"/>
          <w:sz w:val="28"/>
          <w:szCs w:val="28"/>
          <w:lang w:val="en-GB"/>
        </w:rPr>
        <w:t>2</w:t>
      </w:r>
    </w:p>
    <w:p w14:paraId="68C0D865"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493A8371"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64D15D57"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4EF6C3E5"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6BC61A9B"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29F79429" w14:textId="77777777" w:rsidR="00905279" w:rsidRPr="00DE678A" w:rsidRDefault="00905279" w:rsidP="00905279">
      <w:pPr>
        <w:jc w:val="center"/>
        <w:rPr>
          <w:rFonts w:ascii="Times New Roman" w:hAnsi="Times New Roman" w:cs="Times New Roman"/>
          <w:color w:val="000000" w:themeColor="text1"/>
          <w:sz w:val="24"/>
          <w:szCs w:val="24"/>
          <w:lang w:val="en-GB"/>
        </w:rPr>
      </w:pPr>
    </w:p>
    <w:p w14:paraId="19FBB972" w14:textId="77777777" w:rsidR="00905279" w:rsidRPr="00DE678A" w:rsidRDefault="00905279" w:rsidP="00750943">
      <w:pPr>
        <w:spacing w:after="0" w:line="240" w:lineRule="auto"/>
        <w:ind w:left="5041"/>
        <w:jc w:val="center"/>
        <w:rPr>
          <w:rFonts w:ascii="Times New Roman" w:hAnsi="Times New Roman" w:cs="Times New Roman"/>
          <w:color w:val="000000" w:themeColor="text1"/>
          <w:sz w:val="24"/>
          <w:szCs w:val="24"/>
          <w:lang w:val="en-GB"/>
        </w:rPr>
      </w:pPr>
      <w:r w:rsidRPr="00DE678A">
        <w:rPr>
          <w:rFonts w:ascii="Times New Roman" w:hAnsi="Times New Roman" w:cs="Times New Roman"/>
          <w:color w:val="000000" w:themeColor="text1"/>
          <w:sz w:val="24"/>
          <w:szCs w:val="24"/>
          <w:lang w:val="en-GB"/>
        </w:rPr>
        <w:t>APPROVED BY</w:t>
      </w:r>
      <w:r w:rsidR="003A7D61" w:rsidRPr="00DE678A">
        <w:rPr>
          <w:rFonts w:ascii="Times New Roman" w:hAnsi="Times New Roman" w:cs="Times New Roman"/>
          <w:color w:val="000000" w:themeColor="text1"/>
          <w:sz w:val="24"/>
          <w:szCs w:val="24"/>
          <w:lang w:val="en-GB"/>
        </w:rPr>
        <w:t>,</w:t>
      </w:r>
    </w:p>
    <w:p w14:paraId="69060801" w14:textId="77777777" w:rsidR="00905279" w:rsidRPr="00DE678A" w:rsidRDefault="00905279" w:rsidP="00750943">
      <w:pPr>
        <w:spacing w:after="0" w:line="240" w:lineRule="auto"/>
        <w:ind w:left="5041"/>
        <w:jc w:val="center"/>
        <w:rPr>
          <w:rFonts w:ascii="Times New Roman" w:hAnsi="Times New Roman" w:cs="Times New Roman"/>
          <w:b/>
          <w:color w:val="000000" w:themeColor="text1"/>
          <w:sz w:val="24"/>
          <w:szCs w:val="24"/>
          <w:lang w:val="en-GB"/>
        </w:rPr>
      </w:pPr>
      <w:r w:rsidRPr="00DE678A">
        <w:rPr>
          <w:rFonts w:ascii="Times New Roman" w:hAnsi="Times New Roman" w:cs="Times New Roman"/>
          <w:b/>
          <w:color w:val="000000" w:themeColor="text1"/>
          <w:sz w:val="24"/>
          <w:szCs w:val="24"/>
          <w:lang w:val="en-GB"/>
        </w:rPr>
        <w:t>GENERAL DIRECTOR</w:t>
      </w:r>
    </w:p>
    <w:p w14:paraId="276DF40B" w14:textId="77777777" w:rsidR="00905279" w:rsidRPr="00DE678A" w:rsidRDefault="004F6D98">
      <w:pPr>
        <w:rPr>
          <w:rFonts w:ascii="Times New Roman" w:hAnsi="Times New Roman" w:cs="Times New Roman"/>
          <w:b/>
          <w:color w:val="000000" w:themeColor="text1"/>
          <w:lang w:val="en-GB"/>
        </w:rPr>
      </w:pP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Pr="00DE678A">
        <w:rPr>
          <w:rFonts w:ascii="Times New Roman" w:hAnsi="Times New Roman" w:cs="Times New Roman"/>
          <w:color w:val="000000" w:themeColor="text1"/>
          <w:lang w:val="en-GB"/>
        </w:rPr>
        <w:tab/>
      </w:r>
      <w:r w:rsidR="004C78DA">
        <w:rPr>
          <w:rFonts w:ascii="Times New Roman" w:hAnsi="Times New Roman" w:cs="Times New Roman"/>
          <w:b/>
          <w:color w:val="000000" w:themeColor="text1"/>
          <w:lang w:val="en-GB"/>
        </w:rPr>
        <w:t>Gentiana ISLAMAJ</w:t>
      </w:r>
    </w:p>
    <w:p w14:paraId="40381021" w14:textId="77777777" w:rsidR="00905279" w:rsidRPr="00DE678A" w:rsidRDefault="00905279">
      <w:pPr>
        <w:rPr>
          <w:rFonts w:ascii="Times New Roman" w:hAnsi="Times New Roman" w:cs="Times New Roman"/>
          <w:color w:val="000000" w:themeColor="text1"/>
          <w:lang w:val="en-GB"/>
        </w:rPr>
      </w:pPr>
    </w:p>
    <w:p w14:paraId="41CF9C6D" w14:textId="77777777" w:rsidR="00982F06" w:rsidRPr="00DE678A" w:rsidRDefault="00982F06">
      <w:pPr>
        <w:rPr>
          <w:rFonts w:ascii="Times New Roman" w:hAnsi="Times New Roman" w:cs="Times New Roman"/>
          <w:color w:val="000000" w:themeColor="text1"/>
          <w:lang w:val="en-GB"/>
        </w:rPr>
      </w:pPr>
    </w:p>
    <w:p w14:paraId="54B0E4A7" w14:textId="77777777" w:rsidR="00750943" w:rsidRPr="00DE678A" w:rsidRDefault="00750943">
      <w:pPr>
        <w:rPr>
          <w:rFonts w:ascii="Times New Roman" w:hAnsi="Times New Roman" w:cs="Times New Roman"/>
          <w:color w:val="000000" w:themeColor="text1"/>
          <w:lang w:val="en-GB"/>
        </w:rPr>
      </w:pPr>
    </w:p>
    <w:p w14:paraId="2140B974" w14:textId="77777777" w:rsidR="00750943" w:rsidRPr="00DE678A" w:rsidRDefault="00750943">
      <w:pPr>
        <w:rPr>
          <w:rFonts w:ascii="Times New Roman" w:hAnsi="Times New Roman" w:cs="Times New Roman"/>
          <w:color w:val="000000" w:themeColor="text1"/>
          <w:lang w:val="en-GB"/>
        </w:rPr>
      </w:pPr>
    </w:p>
    <w:p w14:paraId="4B17685D" w14:textId="77777777" w:rsidR="00750943" w:rsidRPr="00DE678A" w:rsidRDefault="00750943">
      <w:pPr>
        <w:rPr>
          <w:rFonts w:ascii="Times New Roman" w:hAnsi="Times New Roman" w:cs="Times New Roman"/>
          <w:color w:val="000000" w:themeColor="text1"/>
          <w:lang w:val="en-GB"/>
        </w:rPr>
      </w:pPr>
    </w:p>
    <w:p w14:paraId="5C0B8DBA" w14:textId="77777777" w:rsidR="00750943" w:rsidRPr="00DE678A" w:rsidRDefault="00750943">
      <w:pPr>
        <w:rPr>
          <w:rFonts w:ascii="Times New Roman" w:hAnsi="Times New Roman" w:cs="Times New Roman"/>
          <w:color w:val="000000" w:themeColor="text1"/>
          <w:lang w:val="en-GB"/>
        </w:rPr>
      </w:pPr>
    </w:p>
    <w:p w14:paraId="4248FF86" w14:textId="77777777" w:rsidR="00982F06" w:rsidRPr="00DE678A" w:rsidRDefault="00982F06">
      <w:pPr>
        <w:rPr>
          <w:rFonts w:ascii="Times New Roman" w:hAnsi="Times New Roman" w:cs="Times New Roman"/>
          <w:color w:val="000000" w:themeColor="text1"/>
          <w:lang w:val="en-GB"/>
        </w:rPr>
      </w:pPr>
    </w:p>
    <w:sdt>
      <w:sdtPr>
        <w:rPr>
          <w:rFonts w:asciiTheme="majorBidi" w:eastAsiaTheme="minorHAnsi" w:hAnsiTheme="majorBidi" w:cstheme="minorBidi"/>
          <w:b w:val="0"/>
          <w:bCs w:val="0"/>
          <w:color w:val="000000" w:themeColor="text1"/>
          <w:sz w:val="24"/>
          <w:szCs w:val="24"/>
          <w:lang w:val="en-GB"/>
        </w:rPr>
        <w:id w:val="22339656"/>
        <w:docPartObj>
          <w:docPartGallery w:val="Table of Contents"/>
          <w:docPartUnique/>
        </w:docPartObj>
      </w:sdtPr>
      <w:sdtEndPr>
        <w:rPr>
          <w:rFonts w:asciiTheme="minorHAnsi" w:hAnsiTheme="minorHAnsi"/>
          <w:sz w:val="22"/>
          <w:szCs w:val="22"/>
        </w:rPr>
      </w:sdtEndPr>
      <w:sdtContent>
        <w:p w14:paraId="057F8130" w14:textId="77777777" w:rsidR="00982F06" w:rsidRPr="00DE678A" w:rsidRDefault="00982F06">
          <w:pPr>
            <w:pStyle w:val="TOCHeading"/>
            <w:rPr>
              <w:rFonts w:asciiTheme="majorBidi" w:hAnsiTheme="majorBidi"/>
              <w:color w:val="000000" w:themeColor="text1"/>
              <w:sz w:val="24"/>
              <w:szCs w:val="24"/>
              <w:lang w:val="en-GB"/>
            </w:rPr>
          </w:pPr>
          <w:r w:rsidRPr="00DE678A">
            <w:rPr>
              <w:rFonts w:asciiTheme="majorBidi" w:hAnsiTheme="majorBidi"/>
              <w:color w:val="000000" w:themeColor="text1"/>
              <w:sz w:val="24"/>
              <w:szCs w:val="24"/>
              <w:lang w:val="en-GB"/>
            </w:rPr>
            <w:t>CONTENTS</w:t>
          </w:r>
        </w:p>
        <w:p w14:paraId="078BC92F" w14:textId="77777777" w:rsidR="00982F06" w:rsidRPr="00DE678A" w:rsidRDefault="00982F06" w:rsidP="00982F06">
          <w:pPr>
            <w:rPr>
              <w:rFonts w:asciiTheme="majorBidi" w:hAnsiTheme="majorBidi" w:cstheme="majorBidi"/>
              <w:color w:val="000000" w:themeColor="text1"/>
              <w:sz w:val="24"/>
              <w:szCs w:val="24"/>
              <w:lang w:val="en-GB"/>
            </w:rPr>
          </w:pPr>
        </w:p>
        <w:p w14:paraId="3D610E34" w14:textId="77777777" w:rsidR="005E5A65" w:rsidRPr="005E5A65" w:rsidRDefault="00836E14">
          <w:pPr>
            <w:pStyle w:val="TOC1"/>
            <w:rPr>
              <w:rFonts w:eastAsiaTheme="minorEastAsia"/>
              <w:noProof/>
              <w:lang w:eastAsia="sq-AL"/>
            </w:rPr>
          </w:pPr>
          <w:r w:rsidRPr="004C78DA">
            <w:rPr>
              <w:rFonts w:asciiTheme="majorBidi" w:hAnsiTheme="majorBidi" w:cstheme="majorBidi"/>
              <w:b/>
              <w:color w:val="000000" w:themeColor="text1"/>
              <w:sz w:val="24"/>
              <w:szCs w:val="24"/>
              <w:lang w:val="en-GB"/>
            </w:rPr>
            <w:fldChar w:fldCharType="begin"/>
          </w:r>
          <w:r w:rsidR="00982F06" w:rsidRPr="004C78DA">
            <w:rPr>
              <w:rFonts w:asciiTheme="majorBidi" w:hAnsiTheme="majorBidi" w:cstheme="majorBidi"/>
              <w:b/>
              <w:color w:val="000000" w:themeColor="text1"/>
              <w:sz w:val="24"/>
              <w:szCs w:val="24"/>
              <w:lang w:val="en-GB"/>
            </w:rPr>
            <w:instrText xml:space="preserve"> TOC \o "1-3" \h \z \u </w:instrText>
          </w:r>
          <w:r w:rsidRPr="004C78DA">
            <w:rPr>
              <w:rFonts w:asciiTheme="majorBidi" w:hAnsiTheme="majorBidi" w:cstheme="majorBidi"/>
              <w:b/>
              <w:color w:val="000000" w:themeColor="text1"/>
              <w:sz w:val="24"/>
              <w:szCs w:val="24"/>
              <w:lang w:val="en-GB"/>
            </w:rPr>
            <w:fldChar w:fldCharType="separate"/>
          </w:r>
          <w:hyperlink w:anchor="_Toc24978102" w:history="1">
            <w:r w:rsidR="005E5A65" w:rsidRPr="005E5A65">
              <w:rPr>
                <w:rStyle w:val="Hyperlink"/>
                <w:rFonts w:ascii="Times New Roman" w:hAnsi="Times New Roman" w:cs="Times New Roman"/>
                <w:b/>
                <w:noProof/>
              </w:rPr>
              <w:t>1. SCOPE</w:t>
            </w:r>
            <w:r w:rsidR="005E5A65" w:rsidRPr="005E5A65">
              <w:rPr>
                <w:noProof/>
                <w:webHidden/>
              </w:rPr>
              <w:tab/>
            </w:r>
            <w:r w:rsidR="005E5A65" w:rsidRPr="005E5A65">
              <w:rPr>
                <w:noProof/>
                <w:webHidden/>
              </w:rPr>
              <w:fldChar w:fldCharType="begin"/>
            </w:r>
            <w:r w:rsidR="005E5A65" w:rsidRPr="005E5A65">
              <w:rPr>
                <w:noProof/>
                <w:webHidden/>
              </w:rPr>
              <w:instrText xml:space="preserve"> PAGEREF _Toc24978102 \h </w:instrText>
            </w:r>
            <w:r w:rsidR="005E5A65" w:rsidRPr="005E5A65">
              <w:rPr>
                <w:noProof/>
                <w:webHidden/>
              </w:rPr>
            </w:r>
            <w:r w:rsidR="005E5A65" w:rsidRPr="005E5A65">
              <w:rPr>
                <w:noProof/>
                <w:webHidden/>
              </w:rPr>
              <w:fldChar w:fldCharType="separate"/>
            </w:r>
            <w:r w:rsidR="005E5A65" w:rsidRPr="005E5A65">
              <w:rPr>
                <w:noProof/>
                <w:webHidden/>
              </w:rPr>
              <w:t>3</w:t>
            </w:r>
            <w:r w:rsidR="005E5A65" w:rsidRPr="005E5A65">
              <w:rPr>
                <w:noProof/>
                <w:webHidden/>
              </w:rPr>
              <w:fldChar w:fldCharType="end"/>
            </w:r>
          </w:hyperlink>
        </w:p>
        <w:p w14:paraId="4F6AC871" w14:textId="77777777" w:rsidR="005E5A65" w:rsidRPr="005E5A65" w:rsidRDefault="005E5A65">
          <w:pPr>
            <w:pStyle w:val="TOC1"/>
            <w:rPr>
              <w:rFonts w:eastAsiaTheme="minorEastAsia"/>
              <w:noProof/>
              <w:lang w:eastAsia="sq-AL"/>
            </w:rPr>
          </w:pPr>
          <w:hyperlink w:anchor="_Toc24978103" w:history="1">
            <w:r w:rsidRPr="005E5A65">
              <w:rPr>
                <w:rStyle w:val="Hyperlink"/>
                <w:rFonts w:ascii="Times New Roman" w:hAnsi="Times New Roman" w:cs="Times New Roman"/>
                <w:b/>
                <w:noProof/>
              </w:rPr>
              <w:t>2. REFERENCES</w:t>
            </w:r>
            <w:r w:rsidRPr="005E5A65">
              <w:rPr>
                <w:noProof/>
                <w:webHidden/>
              </w:rPr>
              <w:tab/>
            </w:r>
            <w:r w:rsidRPr="005E5A65">
              <w:rPr>
                <w:noProof/>
                <w:webHidden/>
              </w:rPr>
              <w:fldChar w:fldCharType="begin"/>
            </w:r>
            <w:r w:rsidRPr="005E5A65">
              <w:rPr>
                <w:noProof/>
                <w:webHidden/>
              </w:rPr>
              <w:instrText xml:space="preserve"> PAGEREF _Toc24978103 \h </w:instrText>
            </w:r>
            <w:r w:rsidRPr="005E5A65">
              <w:rPr>
                <w:noProof/>
                <w:webHidden/>
              </w:rPr>
            </w:r>
            <w:r w:rsidRPr="005E5A65">
              <w:rPr>
                <w:noProof/>
                <w:webHidden/>
              </w:rPr>
              <w:fldChar w:fldCharType="separate"/>
            </w:r>
            <w:r w:rsidRPr="005E5A65">
              <w:rPr>
                <w:noProof/>
                <w:webHidden/>
              </w:rPr>
              <w:t>3</w:t>
            </w:r>
            <w:r w:rsidRPr="005E5A65">
              <w:rPr>
                <w:noProof/>
                <w:webHidden/>
              </w:rPr>
              <w:fldChar w:fldCharType="end"/>
            </w:r>
          </w:hyperlink>
        </w:p>
        <w:p w14:paraId="4E9871F0" w14:textId="77777777" w:rsidR="005E5A65" w:rsidRPr="005E5A65" w:rsidRDefault="005E5A65">
          <w:pPr>
            <w:pStyle w:val="TOC1"/>
            <w:rPr>
              <w:rFonts w:eastAsiaTheme="minorEastAsia"/>
              <w:noProof/>
              <w:lang w:eastAsia="sq-AL"/>
            </w:rPr>
          </w:pPr>
          <w:hyperlink w:anchor="_Toc24978104" w:history="1">
            <w:r w:rsidRPr="005E5A65">
              <w:rPr>
                <w:rStyle w:val="Hyperlink"/>
                <w:rFonts w:ascii="Times New Roman" w:hAnsi="Times New Roman" w:cs="Times New Roman"/>
                <w:b/>
                <w:noProof/>
              </w:rPr>
              <w:t>3. RESPOSIBILITIES</w:t>
            </w:r>
            <w:r w:rsidRPr="005E5A65">
              <w:rPr>
                <w:noProof/>
                <w:webHidden/>
              </w:rPr>
              <w:tab/>
            </w:r>
            <w:r w:rsidRPr="005E5A65">
              <w:rPr>
                <w:noProof/>
                <w:webHidden/>
              </w:rPr>
              <w:fldChar w:fldCharType="begin"/>
            </w:r>
            <w:r w:rsidRPr="005E5A65">
              <w:rPr>
                <w:noProof/>
                <w:webHidden/>
              </w:rPr>
              <w:instrText xml:space="preserve"> PAGEREF _Toc24978104 \h </w:instrText>
            </w:r>
            <w:r w:rsidRPr="005E5A65">
              <w:rPr>
                <w:noProof/>
                <w:webHidden/>
              </w:rPr>
            </w:r>
            <w:r w:rsidRPr="005E5A65">
              <w:rPr>
                <w:noProof/>
                <w:webHidden/>
              </w:rPr>
              <w:fldChar w:fldCharType="separate"/>
            </w:r>
            <w:r w:rsidRPr="005E5A65">
              <w:rPr>
                <w:noProof/>
                <w:webHidden/>
              </w:rPr>
              <w:t>3</w:t>
            </w:r>
            <w:r w:rsidRPr="005E5A65">
              <w:rPr>
                <w:noProof/>
                <w:webHidden/>
              </w:rPr>
              <w:fldChar w:fldCharType="end"/>
            </w:r>
          </w:hyperlink>
        </w:p>
        <w:p w14:paraId="4957EAB0" w14:textId="77777777" w:rsidR="005E5A65" w:rsidRPr="005E5A65" w:rsidRDefault="005E5A65">
          <w:pPr>
            <w:pStyle w:val="TOC1"/>
            <w:rPr>
              <w:rFonts w:eastAsiaTheme="minorEastAsia"/>
              <w:noProof/>
              <w:lang w:eastAsia="sq-AL"/>
            </w:rPr>
          </w:pPr>
          <w:hyperlink w:anchor="_Toc24978105" w:history="1">
            <w:r w:rsidRPr="005E5A65">
              <w:rPr>
                <w:rStyle w:val="Hyperlink"/>
                <w:rFonts w:ascii="Times New Roman" w:hAnsi="Times New Roman" w:cs="Times New Roman"/>
                <w:b/>
                <w:noProof/>
              </w:rPr>
              <w:t>4. GLOSSARY AND ABBREVIATIONS</w:t>
            </w:r>
            <w:r w:rsidRPr="005E5A65">
              <w:rPr>
                <w:noProof/>
                <w:webHidden/>
              </w:rPr>
              <w:tab/>
            </w:r>
            <w:r w:rsidRPr="005E5A65">
              <w:rPr>
                <w:noProof/>
                <w:webHidden/>
              </w:rPr>
              <w:fldChar w:fldCharType="begin"/>
            </w:r>
            <w:r w:rsidRPr="005E5A65">
              <w:rPr>
                <w:noProof/>
                <w:webHidden/>
              </w:rPr>
              <w:instrText xml:space="preserve"> PAGEREF _Toc24978105 \h </w:instrText>
            </w:r>
            <w:r w:rsidRPr="005E5A65">
              <w:rPr>
                <w:noProof/>
                <w:webHidden/>
              </w:rPr>
            </w:r>
            <w:r w:rsidRPr="005E5A65">
              <w:rPr>
                <w:noProof/>
                <w:webHidden/>
              </w:rPr>
              <w:fldChar w:fldCharType="separate"/>
            </w:r>
            <w:r w:rsidRPr="005E5A65">
              <w:rPr>
                <w:noProof/>
                <w:webHidden/>
              </w:rPr>
              <w:t>3</w:t>
            </w:r>
            <w:r w:rsidRPr="005E5A65">
              <w:rPr>
                <w:noProof/>
                <w:webHidden/>
              </w:rPr>
              <w:fldChar w:fldCharType="end"/>
            </w:r>
          </w:hyperlink>
        </w:p>
        <w:p w14:paraId="4CD34E5C" w14:textId="77777777" w:rsidR="005E5A65" w:rsidRPr="005E5A65" w:rsidRDefault="005E5A65">
          <w:pPr>
            <w:pStyle w:val="TOC2"/>
            <w:tabs>
              <w:tab w:val="right" w:leader="dot" w:pos="9627"/>
            </w:tabs>
            <w:rPr>
              <w:noProof/>
            </w:rPr>
          </w:pPr>
          <w:hyperlink w:anchor="_Toc24978106" w:history="1">
            <w:r w:rsidRPr="005E5A65">
              <w:rPr>
                <w:rStyle w:val="Hyperlink"/>
                <w:rFonts w:ascii="Times New Roman" w:hAnsi="Times New Roman" w:cs="Times New Roman"/>
                <w:noProof/>
              </w:rPr>
              <w:t>4.1 Glossary</w:t>
            </w:r>
            <w:r w:rsidRPr="005E5A65">
              <w:rPr>
                <w:noProof/>
                <w:webHidden/>
              </w:rPr>
              <w:tab/>
            </w:r>
            <w:r w:rsidRPr="005E5A65">
              <w:rPr>
                <w:noProof/>
                <w:webHidden/>
              </w:rPr>
              <w:fldChar w:fldCharType="begin"/>
            </w:r>
            <w:r w:rsidRPr="005E5A65">
              <w:rPr>
                <w:noProof/>
                <w:webHidden/>
              </w:rPr>
              <w:instrText xml:space="preserve"> PAGEREF _Toc24978106 \h </w:instrText>
            </w:r>
            <w:r w:rsidRPr="005E5A65">
              <w:rPr>
                <w:noProof/>
                <w:webHidden/>
              </w:rPr>
            </w:r>
            <w:r w:rsidRPr="005E5A65">
              <w:rPr>
                <w:noProof/>
                <w:webHidden/>
              </w:rPr>
              <w:fldChar w:fldCharType="separate"/>
            </w:r>
            <w:r w:rsidRPr="005E5A65">
              <w:rPr>
                <w:noProof/>
                <w:webHidden/>
              </w:rPr>
              <w:t>3</w:t>
            </w:r>
            <w:r w:rsidRPr="005E5A65">
              <w:rPr>
                <w:noProof/>
                <w:webHidden/>
              </w:rPr>
              <w:fldChar w:fldCharType="end"/>
            </w:r>
          </w:hyperlink>
        </w:p>
        <w:p w14:paraId="6171F2E4" w14:textId="77777777" w:rsidR="005E5A65" w:rsidRPr="005E5A65" w:rsidRDefault="005E5A65">
          <w:pPr>
            <w:pStyle w:val="TOC2"/>
            <w:tabs>
              <w:tab w:val="right" w:leader="dot" w:pos="9627"/>
            </w:tabs>
            <w:rPr>
              <w:noProof/>
            </w:rPr>
          </w:pPr>
          <w:hyperlink w:anchor="_Toc24978107" w:history="1">
            <w:r w:rsidRPr="005E5A65">
              <w:rPr>
                <w:rStyle w:val="Hyperlink"/>
                <w:rFonts w:ascii="Times New Roman" w:eastAsia="Calibri" w:hAnsi="Times New Roman" w:cs="Times New Roman"/>
                <w:noProof/>
                <w:lang w:val="en-GB"/>
              </w:rPr>
              <w:t>4.2 Abbreviations</w:t>
            </w:r>
            <w:r w:rsidRPr="005E5A65">
              <w:rPr>
                <w:noProof/>
                <w:webHidden/>
              </w:rPr>
              <w:tab/>
            </w:r>
            <w:r w:rsidRPr="005E5A65">
              <w:rPr>
                <w:noProof/>
                <w:webHidden/>
              </w:rPr>
              <w:fldChar w:fldCharType="begin"/>
            </w:r>
            <w:r w:rsidRPr="005E5A65">
              <w:rPr>
                <w:noProof/>
                <w:webHidden/>
              </w:rPr>
              <w:instrText xml:space="preserve"> PAGEREF _Toc24978107 \h </w:instrText>
            </w:r>
            <w:r w:rsidRPr="005E5A65">
              <w:rPr>
                <w:noProof/>
                <w:webHidden/>
              </w:rPr>
            </w:r>
            <w:r w:rsidRPr="005E5A65">
              <w:rPr>
                <w:noProof/>
                <w:webHidden/>
              </w:rPr>
              <w:fldChar w:fldCharType="separate"/>
            </w:r>
            <w:r w:rsidRPr="005E5A65">
              <w:rPr>
                <w:noProof/>
                <w:webHidden/>
              </w:rPr>
              <w:t>3</w:t>
            </w:r>
            <w:r w:rsidRPr="005E5A65">
              <w:rPr>
                <w:noProof/>
                <w:webHidden/>
              </w:rPr>
              <w:fldChar w:fldCharType="end"/>
            </w:r>
          </w:hyperlink>
        </w:p>
        <w:p w14:paraId="6B7FFC01" w14:textId="77777777" w:rsidR="005E5A65" w:rsidRPr="005E5A65" w:rsidRDefault="005E5A65">
          <w:pPr>
            <w:pStyle w:val="TOC1"/>
            <w:rPr>
              <w:rFonts w:eastAsiaTheme="minorEastAsia"/>
              <w:noProof/>
              <w:lang w:eastAsia="sq-AL"/>
            </w:rPr>
          </w:pPr>
          <w:hyperlink w:anchor="_Toc24978108" w:history="1">
            <w:r w:rsidRPr="005E5A65">
              <w:rPr>
                <w:rStyle w:val="Hyperlink"/>
                <w:rFonts w:ascii="Times New Roman" w:hAnsi="Times New Roman" w:cs="Times New Roman"/>
                <w:b/>
                <w:noProof/>
              </w:rPr>
              <w:t>5. DESCRIPTION OF POLICY</w:t>
            </w:r>
            <w:r w:rsidRPr="005E5A65">
              <w:rPr>
                <w:noProof/>
                <w:webHidden/>
              </w:rPr>
              <w:tab/>
            </w:r>
            <w:r w:rsidRPr="005E5A65">
              <w:rPr>
                <w:noProof/>
                <w:webHidden/>
              </w:rPr>
              <w:fldChar w:fldCharType="begin"/>
            </w:r>
            <w:r w:rsidRPr="005E5A65">
              <w:rPr>
                <w:noProof/>
                <w:webHidden/>
              </w:rPr>
              <w:instrText xml:space="preserve"> PAGEREF _Toc24978108 \h </w:instrText>
            </w:r>
            <w:r w:rsidRPr="005E5A65">
              <w:rPr>
                <w:noProof/>
                <w:webHidden/>
              </w:rPr>
            </w:r>
            <w:r w:rsidRPr="005E5A65">
              <w:rPr>
                <w:noProof/>
                <w:webHidden/>
              </w:rPr>
              <w:fldChar w:fldCharType="separate"/>
            </w:r>
            <w:r w:rsidRPr="005E5A65">
              <w:rPr>
                <w:noProof/>
                <w:webHidden/>
              </w:rPr>
              <w:t>4</w:t>
            </w:r>
            <w:r w:rsidRPr="005E5A65">
              <w:rPr>
                <w:noProof/>
                <w:webHidden/>
              </w:rPr>
              <w:fldChar w:fldCharType="end"/>
            </w:r>
          </w:hyperlink>
        </w:p>
        <w:p w14:paraId="27F390C6" w14:textId="24751617" w:rsidR="005E5A65" w:rsidRPr="005E5A65" w:rsidRDefault="005E5A65">
          <w:pPr>
            <w:pStyle w:val="TOC2"/>
            <w:tabs>
              <w:tab w:val="left" w:pos="880"/>
              <w:tab w:val="right" w:leader="dot" w:pos="9627"/>
            </w:tabs>
            <w:rPr>
              <w:noProof/>
            </w:rPr>
          </w:pPr>
          <w:hyperlink w:anchor="_Toc24978109" w:history="1">
            <w:r w:rsidRPr="005E5A65">
              <w:rPr>
                <w:rStyle w:val="Hyperlink"/>
                <w:rFonts w:ascii="Times New Roman" w:eastAsia="Calibri" w:hAnsi="Times New Roman" w:cs="Times New Roman"/>
                <w:noProof/>
                <w:lang w:val="en-GB"/>
              </w:rPr>
              <w:t>5.1 General rules</w:t>
            </w:r>
            <w:r w:rsidRPr="005E5A65">
              <w:rPr>
                <w:noProof/>
                <w:webHidden/>
              </w:rPr>
              <w:tab/>
            </w:r>
            <w:r w:rsidRPr="005E5A65">
              <w:rPr>
                <w:noProof/>
                <w:webHidden/>
              </w:rPr>
              <w:fldChar w:fldCharType="begin"/>
            </w:r>
            <w:r w:rsidRPr="005E5A65">
              <w:rPr>
                <w:noProof/>
                <w:webHidden/>
              </w:rPr>
              <w:instrText xml:space="preserve"> PAGEREF _Toc24978109 \h </w:instrText>
            </w:r>
            <w:r w:rsidRPr="005E5A65">
              <w:rPr>
                <w:noProof/>
                <w:webHidden/>
              </w:rPr>
            </w:r>
            <w:r w:rsidRPr="005E5A65">
              <w:rPr>
                <w:noProof/>
                <w:webHidden/>
              </w:rPr>
              <w:fldChar w:fldCharType="separate"/>
            </w:r>
            <w:r w:rsidRPr="005E5A65">
              <w:rPr>
                <w:noProof/>
                <w:webHidden/>
              </w:rPr>
              <w:t>4</w:t>
            </w:r>
            <w:r w:rsidRPr="005E5A65">
              <w:rPr>
                <w:noProof/>
                <w:webHidden/>
              </w:rPr>
              <w:fldChar w:fldCharType="end"/>
            </w:r>
          </w:hyperlink>
        </w:p>
        <w:p w14:paraId="4605D0AC" w14:textId="77777777" w:rsidR="005E5A65" w:rsidRPr="005E5A65" w:rsidRDefault="005E5A65">
          <w:pPr>
            <w:pStyle w:val="TOC2"/>
            <w:tabs>
              <w:tab w:val="right" w:leader="dot" w:pos="9627"/>
            </w:tabs>
            <w:rPr>
              <w:noProof/>
            </w:rPr>
          </w:pPr>
          <w:hyperlink w:anchor="_Toc24978110" w:history="1">
            <w:r w:rsidRPr="005E5A65">
              <w:rPr>
                <w:rStyle w:val="Hyperlink"/>
                <w:rFonts w:ascii="Times New Roman" w:eastAsia="Calibri" w:hAnsi="Times New Roman" w:cs="Times New Roman"/>
                <w:noProof/>
                <w:lang w:val="en-GB"/>
              </w:rPr>
              <w:t>5.2 Number of assessment days for laboratories</w:t>
            </w:r>
            <w:r w:rsidRPr="005E5A65">
              <w:rPr>
                <w:noProof/>
                <w:webHidden/>
              </w:rPr>
              <w:tab/>
            </w:r>
            <w:r w:rsidRPr="005E5A65">
              <w:rPr>
                <w:noProof/>
                <w:webHidden/>
              </w:rPr>
              <w:fldChar w:fldCharType="begin"/>
            </w:r>
            <w:r w:rsidRPr="005E5A65">
              <w:rPr>
                <w:noProof/>
                <w:webHidden/>
              </w:rPr>
              <w:instrText xml:space="preserve"> PAGEREF _Toc24978110 \h </w:instrText>
            </w:r>
            <w:r w:rsidRPr="005E5A65">
              <w:rPr>
                <w:noProof/>
                <w:webHidden/>
              </w:rPr>
            </w:r>
            <w:r w:rsidRPr="005E5A65">
              <w:rPr>
                <w:noProof/>
                <w:webHidden/>
              </w:rPr>
              <w:fldChar w:fldCharType="separate"/>
            </w:r>
            <w:r w:rsidRPr="005E5A65">
              <w:rPr>
                <w:noProof/>
                <w:webHidden/>
              </w:rPr>
              <w:t>5</w:t>
            </w:r>
            <w:r w:rsidRPr="005E5A65">
              <w:rPr>
                <w:noProof/>
                <w:webHidden/>
              </w:rPr>
              <w:fldChar w:fldCharType="end"/>
            </w:r>
          </w:hyperlink>
        </w:p>
        <w:p w14:paraId="68234108" w14:textId="77777777" w:rsidR="005E5A65" w:rsidRPr="005E5A65" w:rsidRDefault="005E5A65">
          <w:pPr>
            <w:pStyle w:val="TOC2"/>
            <w:tabs>
              <w:tab w:val="right" w:leader="dot" w:pos="9627"/>
            </w:tabs>
            <w:rPr>
              <w:noProof/>
            </w:rPr>
          </w:pPr>
          <w:hyperlink w:anchor="_Toc24978111" w:history="1">
            <w:r w:rsidRPr="005E5A65">
              <w:rPr>
                <w:rStyle w:val="Hyperlink"/>
                <w:rFonts w:ascii="Times New Roman" w:eastAsia="Calibri" w:hAnsi="Times New Roman" w:cs="Times New Roman"/>
                <w:noProof/>
                <w:lang w:val="en-GB"/>
              </w:rPr>
              <w:t>5.3 Number of assessment days for inspection bodies</w:t>
            </w:r>
            <w:r w:rsidRPr="005E5A65">
              <w:rPr>
                <w:noProof/>
                <w:webHidden/>
              </w:rPr>
              <w:tab/>
            </w:r>
            <w:r w:rsidRPr="005E5A65">
              <w:rPr>
                <w:noProof/>
                <w:webHidden/>
              </w:rPr>
              <w:fldChar w:fldCharType="begin"/>
            </w:r>
            <w:r w:rsidRPr="005E5A65">
              <w:rPr>
                <w:noProof/>
                <w:webHidden/>
              </w:rPr>
              <w:instrText xml:space="preserve"> PAGEREF _Toc24978111 \h </w:instrText>
            </w:r>
            <w:r w:rsidRPr="005E5A65">
              <w:rPr>
                <w:noProof/>
                <w:webHidden/>
              </w:rPr>
            </w:r>
            <w:r w:rsidRPr="005E5A65">
              <w:rPr>
                <w:noProof/>
                <w:webHidden/>
              </w:rPr>
              <w:fldChar w:fldCharType="separate"/>
            </w:r>
            <w:r w:rsidRPr="005E5A65">
              <w:rPr>
                <w:noProof/>
                <w:webHidden/>
              </w:rPr>
              <w:t>6</w:t>
            </w:r>
            <w:r w:rsidRPr="005E5A65">
              <w:rPr>
                <w:noProof/>
                <w:webHidden/>
              </w:rPr>
              <w:fldChar w:fldCharType="end"/>
            </w:r>
          </w:hyperlink>
        </w:p>
        <w:p w14:paraId="2B82B4FC" w14:textId="77777777" w:rsidR="005E5A65" w:rsidRDefault="005E5A65">
          <w:pPr>
            <w:pStyle w:val="TOC2"/>
            <w:tabs>
              <w:tab w:val="right" w:leader="dot" w:pos="9627"/>
            </w:tabs>
            <w:rPr>
              <w:noProof/>
            </w:rPr>
          </w:pPr>
          <w:hyperlink w:anchor="_Toc24978112" w:history="1">
            <w:r w:rsidRPr="005E5A65">
              <w:rPr>
                <w:rStyle w:val="Hyperlink"/>
                <w:rFonts w:ascii="Times New Roman" w:eastAsia="Calibri" w:hAnsi="Times New Roman" w:cs="Times New Roman"/>
                <w:noProof/>
                <w:lang w:val="en-GB"/>
              </w:rPr>
              <w:t>5.4 Number of assessment days for pre- and post-assessment activities</w:t>
            </w:r>
            <w:r w:rsidRPr="005E5A65">
              <w:rPr>
                <w:noProof/>
                <w:webHidden/>
              </w:rPr>
              <w:tab/>
            </w:r>
            <w:r w:rsidRPr="005E5A65">
              <w:rPr>
                <w:noProof/>
                <w:webHidden/>
              </w:rPr>
              <w:fldChar w:fldCharType="begin"/>
            </w:r>
            <w:r w:rsidRPr="005E5A65">
              <w:rPr>
                <w:noProof/>
                <w:webHidden/>
              </w:rPr>
              <w:instrText xml:space="preserve"> PAGEREF _Toc24978112 \h </w:instrText>
            </w:r>
            <w:r w:rsidRPr="005E5A65">
              <w:rPr>
                <w:noProof/>
                <w:webHidden/>
              </w:rPr>
            </w:r>
            <w:r w:rsidRPr="005E5A65">
              <w:rPr>
                <w:noProof/>
                <w:webHidden/>
              </w:rPr>
              <w:fldChar w:fldCharType="separate"/>
            </w:r>
            <w:r w:rsidRPr="005E5A65">
              <w:rPr>
                <w:noProof/>
                <w:webHidden/>
              </w:rPr>
              <w:t>7</w:t>
            </w:r>
            <w:r w:rsidRPr="005E5A65">
              <w:rPr>
                <w:noProof/>
                <w:webHidden/>
              </w:rPr>
              <w:fldChar w:fldCharType="end"/>
            </w:r>
          </w:hyperlink>
        </w:p>
        <w:p w14:paraId="506602A9" w14:textId="77777777" w:rsidR="005E5A65" w:rsidRDefault="005E5A65">
          <w:pPr>
            <w:pStyle w:val="TOC1"/>
            <w:rPr>
              <w:rFonts w:eastAsiaTheme="minorEastAsia"/>
              <w:noProof/>
              <w:lang w:eastAsia="sq-AL"/>
            </w:rPr>
          </w:pPr>
          <w:hyperlink w:anchor="_Toc24978113" w:history="1">
            <w:r w:rsidRPr="005E5A65">
              <w:rPr>
                <w:rStyle w:val="Hyperlink"/>
                <w:rFonts w:ascii="Times New Roman" w:hAnsi="Times New Roman" w:cs="Times New Roman"/>
                <w:b/>
                <w:noProof/>
              </w:rPr>
              <w:t>6. ANNEXES</w:t>
            </w:r>
            <w:r>
              <w:rPr>
                <w:noProof/>
                <w:webHidden/>
              </w:rPr>
              <w:tab/>
            </w:r>
            <w:r>
              <w:rPr>
                <w:noProof/>
                <w:webHidden/>
              </w:rPr>
              <w:fldChar w:fldCharType="begin"/>
            </w:r>
            <w:r>
              <w:rPr>
                <w:noProof/>
                <w:webHidden/>
              </w:rPr>
              <w:instrText xml:space="preserve"> PAGEREF _Toc24978113 \h </w:instrText>
            </w:r>
            <w:r>
              <w:rPr>
                <w:noProof/>
                <w:webHidden/>
              </w:rPr>
            </w:r>
            <w:r>
              <w:rPr>
                <w:noProof/>
                <w:webHidden/>
              </w:rPr>
              <w:fldChar w:fldCharType="separate"/>
            </w:r>
            <w:r>
              <w:rPr>
                <w:noProof/>
                <w:webHidden/>
              </w:rPr>
              <w:t>7</w:t>
            </w:r>
            <w:r>
              <w:rPr>
                <w:noProof/>
                <w:webHidden/>
              </w:rPr>
              <w:fldChar w:fldCharType="end"/>
            </w:r>
          </w:hyperlink>
        </w:p>
        <w:p w14:paraId="7480E26F" w14:textId="77777777" w:rsidR="005E5A65" w:rsidRDefault="005E5A65">
          <w:pPr>
            <w:pStyle w:val="TOC1"/>
            <w:rPr>
              <w:rFonts w:eastAsiaTheme="minorEastAsia"/>
              <w:noProof/>
              <w:lang w:eastAsia="sq-AL"/>
            </w:rPr>
          </w:pPr>
          <w:hyperlink w:anchor="_Toc24978114" w:history="1">
            <w:r w:rsidRPr="005E5A65">
              <w:rPr>
                <w:rStyle w:val="Hyperlink"/>
                <w:rFonts w:ascii="Times New Roman" w:hAnsi="Times New Roman" w:cs="Times New Roman"/>
                <w:b/>
                <w:noProof/>
              </w:rPr>
              <w:t>7. RECORDS</w:t>
            </w:r>
            <w:r>
              <w:rPr>
                <w:noProof/>
                <w:webHidden/>
              </w:rPr>
              <w:tab/>
            </w:r>
            <w:r>
              <w:rPr>
                <w:noProof/>
                <w:webHidden/>
              </w:rPr>
              <w:fldChar w:fldCharType="begin"/>
            </w:r>
            <w:r>
              <w:rPr>
                <w:noProof/>
                <w:webHidden/>
              </w:rPr>
              <w:instrText xml:space="preserve"> PAGEREF _Toc24978114 \h </w:instrText>
            </w:r>
            <w:r>
              <w:rPr>
                <w:noProof/>
                <w:webHidden/>
              </w:rPr>
            </w:r>
            <w:r>
              <w:rPr>
                <w:noProof/>
                <w:webHidden/>
              </w:rPr>
              <w:fldChar w:fldCharType="separate"/>
            </w:r>
            <w:r>
              <w:rPr>
                <w:noProof/>
                <w:webHidden/>
              </w:rPr>
              <w:t>7</w:t>
            </w:r>
            <w:r>
              <w:rPr>
                <w:noProof/>
                <w:webHidden/>
              </w:rPr>
              <w:fldChar w:fldCharType="end"/>
            </w:r>
          </w:hyperlink>
        </w:p>
        <w:p w14:paraId="0F7BC2C0" w14:textId="77777777" w:rsidR="005E5A65" w:rsidRDefault="005E5A65">
          <w:pPr>
            <w:pStyle w:val="TOC1"/>
            <w:rPr>
              <w:rFonts w:eastAsiaTheme="minorEastAsia"/>
              <w:noProof/>
              <w:lang w:eastAsia="sq-AL"/>
            </w:rPr>
          </w:pPr>
          <w:hyperlink w:anchor="_Toc24978115" w:history="1">
            <w:r w:rsidRPr="005E5A65">
              <w:rPr>
                <w:rStyle w:val="Hyperlink"/>
                <w:rFonts w:ascii="Times New Roman" w:hAnsi="Times New Roman" w:cs="Times New Roman"/>
                <w:b/>
                <w:noProof/>
              </w:rPr>
              <w:t>8. HISTORY</w:t>
            </w:r>
            <w:r>
              <w:rPr>
                <w:noProof/>
                <w:webHidden/>
              </w:rPr>
              <w:tab/>
            </w:r>
            <w:r>
              <w:rPr>
                <w:noProof/>
                <w:webHidden/>
              </w:rPr>
              <w:fldChar w:fldCharType="begin"/>
            </w:r>
            <w:r>
              <w:rPr>
                <w:noProof/>
                <w:webHidden/>
              </w:rPr>
              <w:instrText xml:space="preserve"> PAGEREF _Toc24978115 \h </w:instrText>
            </w:r>
            <w:r>
              <w:rPr>
                <w:noProof/>
                <w:webHidden/>
              </w:rPr>
            </w:r>
            <w:r>
              <w:rPr>
                <w:noProof/>
                <w:webHidden/>
              </w:rPr>
              <w:fldChar w:fldCharType="separate"/>
            </w:r>
            <w:r>
              <w:rPr>
                <w:noProof/>
                <w:webHidden/>
              </w:rPr>
              <w:t>7</w:t>
            </w:r>
            <w:r>
              <w:rPr>
                <w:noProof/>
                <w:webHidden/>
              </w:rPr>
              <w:fldChar w:fldCharType="end"/>
            </w:r>
          </w:hyperlink>
        </w:p>
        <w:p w14:paraId="2491B3DD" w14:textId="77777777" w:rsidR="004724BC" w:rsidRPr="004C78DA" w:rsidRDefault="00836E14">
          <w:pPr>
            <w:rPr>
              <w:rFonts w:asciiTheme="majorBidi" w:hAnsiTheme="majorBidi" w:cstheme="majorBidi"/>
              <w:b/>
              <w:color w:val="000000" w:themeColor="text1"/>
              <w:sz w:val="24"/>
              <w:szCs w:val="24"/>
              <w:lang w:val="en-GB"/>
            </w:rPr>
          </w:pPr>
          <w:r w:rsidRPr="004C78DA">
            <w:rPr>
              <w:rFonts w:asciiTheme="majorBidi" w:hAnsiTheme="majorBidi" w:cstheme="majorBidi"/>
              <w:b/>
              <w:color w:val="000000" w:themeColor="text1"/>
              <w:sz w:val="24"/>
              <w:szCs w:val="24"/>
              <w:lang w:val="en-GB"/>
            </w:rPr>
            <w:fldChar w:fldCharType="end"/>
          </w:r>
        </w:p>
        <w:p w14:paraId="04ADE92D" w14:textId="77777777" w:rsidR="004724BC" w:rsidRPr="00DE678A" w:rsidRDefault="004724BC">
          <w:pPr>
            <w:rPr>
              <w:rFonts w:asciiTheme="majorBidi" w:hAnsiTheme="majorBidi" w:cstheme="majorBidi"/>
              <w:color w:val="000000" w:themeColor="text1"/>
              <w:sz w:val="24"/>
              <w:szCs w:val="24"/>
              <w:lang w:val="en-GB"/>
            </w:rPr>
          </w:pPr>
        </w:p>
        <w:p w14:paraId="1ED70631" w14:textId="77777777" w:rsidR="004724BC" w:rsidRPr="00DE678A" w:rsidRDefault="004724BC">
          <w:pPr>
            <w:rPr>
              <w:rFonts w:asciiTheme="majorBidi" w:hAnsiTheme="majorBidi" w:cstheme="majorBidi"/>
              <w:color w:val="000000" w:themeColor="text1"/>
              <w:sz w:val="24"/>
              <w:szCs w:val="24"/>
              <w:lang w:val="en-GB"/>
            </w:rPr>
          </w:pPr>
        </w:p>
        <w:p w14:paraId="3A154B09" w14:textId="77777777" w:rsidR="004724BC" w:rsidRPr="00DE678A" w:rsidRDefault="004724BC">
          <w:pPr>
            <w:rPr>
              <w:rFonts w:asciiTheme="majorBidi" w:hAnsiTheme="majorBidi" w:cstheme="majorBidi"/>
              <w:color w:val="000000" w:themeColor="text1"/>
              <w:sz w:val="24"/>
              <w:szCs w:val="24"/>
              <w:lang w:val="en-GB"/>
            </w:rPr>
          </w:pPr>
        </w:p>
        <w:p w14:paraId="5DEC6BD0" w14:textId="77777777" w:rsidR="004724BC" w:rsidRPr="00DE678A" w:rsidRDefault="004724BC">
          <w:pPr>
            <w:rPr>
              <w:rFonts w:asciiTheme="majorBidi" w:hAnsiTheme="majorBidi" w:cstheme="majorBidi"/>
              <w:color w:val="000000" w:themeColor="text1"/>
              <w:sz w:val="24"/>
              <w:szCs w:val="24"/>
              <w:lang w:val="en-GB"/>
            </w:rPr>
          </w:pPr>
        </w:p>
        <w:p w14:paraId="51F0F8B5" w14:textId="77777777" w:rsidR="004724BC" w:rsidRPr="00DE678A" w:rsidRDefault="004724BC">
          <w:pPr>
            <w:rPr>
              <w:rFonts w:asciiTheme="majorBidi" w:hAnsiTheme="majorBidi" w:cstheme="majorBidi"/>
              <w:color w:val="000000" w:themeColor="text1"/>
              <w:sz w:val="24"/>
              <w:szCs w:val="24"/>
              <w:lang w:val="en-GB"/>
            </w:rPr>
          </w:pPr>
        </w:p>
        <w:p w14:paraId="2482120B" w14:textId="77777777" w:rsidR="004724BC" w:rsidRPr="00DE678A" w:rsidRDefault="004724BC">
          <w:pPr>
            <w:rPr>
              <w:rFonts w:asciiTheme="majorBidi" w:hAnsiTheme="majorBidi" w:cstheme="majorBidi"/>
              <w:color w:val="000000" w:themeColor="text1"/>
              <w:sz w:val="24"/>
              <w:szCs w:val="24"/>
              <w:lang w:val="en-GB"/>
            </w:rPr>
          </w:pPr>
        </w:p>
        <w:p w14:paraId="2CFB051E" w14:textId="77777777" w:rsidR="00301AAD" w:rsidRDefault="00301AAD">
          <w:pPr>
            <w:rPr>
              <w:color w:val="000000" w:themeColor="text1"/>
              <w:lang w:val="en-GB"/>
            </w:rPr>
          </w:pPr>
        </w:p>
        <w:p w14:paraId="35001090" w14:textId="77777777" w:rsidR="00982F06" w:rsidRPr="00DE678A" w:rsidRDefault="00271D89">
          <w:pPr>
            <w:rPr>
              <w:color w:val="000000" w:themeColor="text1"/>
              <w:lang w:val="en-GB"/>
            </w:rPr>
          </w:pPr>
        </w:p>
      </w:sdtContent>
    </w:sdt>
    <w:p w14:paraId="5E8834C9" w14:textId="77777777" w:rsidR="00301AAD" w:rsidRDefault="00301AAD" w:rsidP="0044655A">
      <w:pPr>
        <w:pStyle w:val="Heading1"/>
        <w:tabs>
          <w:tab w:val="left" w:pos="567"/>
        </w:tabs>
        <w:spacing w:before="0" w:line="240" w:lineRule="auto"/>
        <w:rPr>
          <w:rFonts w:asciiTheme="majorBidi" w:eastAsia="Calibri" w:hAnsiTheme="majorBidi"/>
          <w:color w:val="000000" w:themeColor="text1"/>
          <w:sz w:val="24"/>
          <w:szCs w:val="24"/>
          <w:lang w:val="en-GB"/>
        </w:rPr>
      </w:pPr>
      <w:bookmarkStart w:id="0" w:name="_Toc421093105"/>
    </w:p>
    <w:p w14:paraId="3AB857AD" w14:textId="77777777" w:rsidR="00951BF2" w:rsidRPr="00A643F7" w:rsidRDefault="00951BF2" w:rsidP="00A643F7">
      <w:pPr>
        <w:rPr>
          <w:lang w:val="en-GB"/>
        </w:rPr>
      </w:pPr>
    </w:p>
    <w:p w14:paraId="4653F024" w14:textId="77777777" w:rsidR="00301AAD" w:rsidRPr="00301AAD" w:rsidRDefault="00301AAD" w:rsidP="00301AAD">
      <w:pPr>
        <w:rPr>
          <w:lang w:val="en-GB"/>
        </w:rPr>
      </w:pPr>
    </w:p>
    <w:p w14:paraId="1D3075D0" w14:textId="66BB896F" w:rsidR="00D0482D" w:rsidRPr="00A643F7" w:rsidRDefault="00D0482D" w:rsidP="00A643F7">
      <w:pPr>
        <w:pStyle w:val="Heading1"/>
        <w:rPr>
          <w:rFonts w:ascii="Times New Roman" w:hAnsi="Times New Roman" w:cs="Times New Roman"/>
          <w:color w:val="auto"/>
          <w:sz w:val="24"/>
          <w:szCs w:val="24"/>
        </w:rPr>
      </w:pPr>
      <w:bookmarkStart w:id="1" w:name="_Toc24978102"/>
      <w:r w:rsidRPr="00A643F7">
        <w:rPr>
          <w:rFonts w:ascii="Times New Roman" w:hAnsi="Times New Roman" w:cs="Times New Roman"/>
          <w:color w:val="auto"/>
          <w:sz w:val="24"/>
          <w:szCs w:val="24"/>
        </w:rPr>
        <w:t xml:space="preserve">1. </w:t>
      </w:r>
      <w:r w:rsidR="00004CF5" w:rsidRPr="00A643F7">
        <w:rPr>
          <w:rFonts w:ascii="Times New Roman" w:hAnsi="Times New Roman" w:cs="Times New Roman"/>
          <w:color w:val="auto"/>
          <w:sz w:val="24"/>
          <w:szCs w:val="24"/>
        </w:rPr>
        <w:t>SCOPE</w:t>
      </w:r>
      <w:bookmarkEnd w:id="1"/>
    </w:p>
    <w:p w14:paraId="67247325" w14:textId="77777777" w:rsidR="00D0482D" w:rsidRPr="00DE678A" w:rsidRDefault="00D0482D" w:rsidP="00D0482D">
      <w:pPr>
        <w:spacing w:after="0" w:line="240" w:lineRule="auto"/>
        <w:jc w:val="both"/>
        <w:rPr>
          <w:rFonts w:ascii="Times New Roman" w:eastAsia="Calibri" w:hAnsi="Times New Roman" w:cs="Times New Roman"/>
          <w:b/>
          <w:color w:val="000000" w:themeColor="text1"/>
          <w:sz w:val="24"/>
          <w:szCs w:val="24"/>
          <w:lang w:val="en-GB"/>
        </w:rPr>
      </w:pPr>
    </w:p>
    <w:p w14:paraId="5DE4D0D8" w14:textId="08CC0302" w:rsidR="00D0482D" w:rsidRDefault="00D0482D" w:rsidP="00C41698">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This document describes the policy of assessment of </w:t>
      </w:r>
      <w:r w:rsidR="00004CF5">
        <w:rPr>
          <w:rFonts w:ascii="Times New Roman" w:eastAsia="Calibri" w:hAnsi="Times New Roman" w:cs="Times New Roman"/>
          <w:color w:val="000000" w:themeColor="text1"/>
          <w:sz w:val="24"/>
          <w:szCs w:val="24"/>
          <w:lang w:val="en-GB"/>
        </w:rPr>
        <w:t xml:space="preserve">Kosovo </w:t>
      </w:r>
      <w:r w:rsidR="00BA5A33" w:rsidRPr="00DE678A">
        <w:rPr>
          <w:rFonts w:ascii="Times New Roman" w:eastAsia="Calibri" w:hAnsi="Times New Roman" w:cs="Times New Roman"/>
          <w:color w:val="000000" w:themeColor="text1"/>
          <w:sz w:val="24"/>
          <w:szCs w:val="24"/>
          <w:lang w:val="en-GB"/>
        </w:rPr>
        <w:t xml:space="preserve">General </w:t>
      </w:r>
      <w:r w:rsidRPr="00DE678A">
        <w:rPr>
          <w:rFonts w:ascii="Times New Roman" w:eastAsia="Calibri" w:hAnsi="Times New Roman" w:cs="Times New Roman"/>
          <w:color w:val="000000" w:themeColor="text1"/>
          <w:sz w:val="24"/>
          <w:szCs w:val="24"/>
          <w:lang w:val="en-GB"/>
        </w:rPr>
        <w:t xml:space="preserve">Accreditation </w:t>
      </w:r>
      <w:r w:rsidR="00004CF5">
        <w:rPr>
          <w:rFonts w:ascii="Times New Roman" w:eastAsia="Calibri" w:hAnsi="Times New Roman" w:cs="Times New Roman"/>
          <w:color w:val="000000" w:themeColor="text1"/>
          <w:sz w:val="24"/>
          <w:szCs w:val="24"/>
          <w:lang w:val="en-GB"/>
        </w:rPr>
        <w:t>Directorate</w:t>
      </w:r>
      <w:r w:rsidRPr="00DE678A">
        <w:rPr>
          <w:rFonts w:ascii="Times New Roman" w:eastAsia="Calibri" w:hAnsi="Times New Roman" w:cs="Times New Roman"/>
          <w:color w:val="000000" w:themeColor="text1"/>
          <w:sz w:val="24"/>
          <w:szCs w:val="24"/>
          <w:lang w:val="en-GB"/>
        </w:rPr>
        <w:t xml:space="preserve"> (DAK) in relation to the assessment of the Conformity Assessment Bodies (CAB) such as testing, calibration </w:t>
      </w:r>
      <w:r w:rsidR="000C2300" w:rsidRPr="00DE678A">
        <w:rPr>
          <w:rFonts w:ascii="Times New Roman" w:eastAsia="Calibri" w:hAnsi="Times New Roman" w:cs="Times New Roman"/>
          <w:color w:val="000000" w:themeColor="text1"/>
          <w:sz w:val="24"/>
          <w:szCs w:val="24"/>
          <w:lang w:val="en-GB"/>
        </w:rPr>
        <w:t xml:space="preserve">laboratories </w:t>
      </w:r>
      <w:r w:rsidRPr="00DE678A">
        <w:rPr>
          <w:rFonts w:ascii="Times New Roman" w:eastAsia="Calibri" w:hAnsi="Times New Roman" w:cs="Times New Roman"/>
          <w:color w:val="000000" w:themeColor="text1"/>
          <w:sz w:val="24"/>
          <w:szCs w:val="24"/>
          <w:lang w:val="en-GB"/>
        </w:rPr>
        <w:t xml:space="preserve">and inspection </w:t>
      </w:r>
      <w:r w:rsidR="000C2300">
        <w:rPr>
          <w:rFonts w:ascii="Times New Roman" w:eastAsia="Calibri" w:hAnsi="Times New Roman" w:cs="Times New Roman"/>
          <w:color w:val="000000" w:themeColor="text1"/>
          <w:sz w:val="24"/>
          <w:szCs w:val="24"/>
          <w:lang w:val="en-GB"/>
        </w:rPr>
        <w:t>b</w:t>
      </w:r>
      <w:r w:rsidRPr="00DE678A">
        <w:rPr>
          <w:rFonts w:ascii="Times New Roman" w:eastAsia="Calibri" w:hAnsi="Times New Roman" w:cs="Times New Roman"/>
          <w:color w:val="000000" w:themeColor="text1"/>
          <w:sz w:val="24"/>
          <w:szCs w:val="24"/>
          <w:lang w:val="en-GB"/>
        </w:rPr>
        <w:t>odies.</w:t>
      </w:r>
    </w:p>
    <w:p w14:paraId="159C242B" w14:textId="77777777" w:rsidR="00C41698" w:rsidRPr="00DE678A" w:rsidRDefault="00C41698" w:rsidP="00C41698">
      <w:pPr>
        <w:spacing w:after="0" w:line="240" w:lineRule="auto"/>
        <w:jc w:val="both"/>
        <w:rPr>
          <w:rFonts w:ascii="Times New Roman" w:eastAsia="Calibri" w:hAnsi="Times New Roman" w:cs="Times New Roman"/>
          <w:color w:val="000000" w:themeColor="text1"/>
          <w:sz w:val="24"/>
          <w:szCs w:val="24"/>
          <w:lang w:val="en-GB"/>
        </w:rPr>
      </w:pPr>
    </w:p>
    <w:p w14:paraId="2E2CCF81" w14:textId="439444D6" w:rsidR="00D0482D" w:rsidRPr="00A643F7" w:rsidRDefault="00D0482D" w:rsidP="00A643F7">
      <w:pPr>
        <w:pStyle w:val="Heading1"/>
        <w:rPr>
          <w:rFonts w:ascii="Times New Roman" w:hAnsi="Times New Roman" w:cs="Times New Roman"/>
          <w:color w:val="auto"/>
          <w:sz w:val="24"/>
          <w:szCs w:val="24"/>
        </w:rPr>
      </w:pPr>
      <w:bookmarkStart w:id="2" w:name="_Toc24978103"/>
      <w:r w:rsidRPr="00A643F7">
        <w:rPr>
          <w:rFonts w:ascii="Times New Roman" w:hAnsi="Times New Roman" w:cs="Times New Roman"/>
          <w:color w:val="auto"/>
          <w:sz w:val="24"/>
          <w:szCs w:val="24"/>
        </w:rPr>
        <w:t>2. REFERENCES</w:t>
      </w:r>
      <w:bookmarkEnd w:id="2"/>
    </w:p>
    <w:p w14:paraId="082143F6" w14:textId="77777777" w:rsidR="00D0482D" w:rsidRPr="00DE678A" w:rsidRDefault="00D0482D" w:rsidP="00D0482D">
      <w:pPr>
        <w:spacing w:after="0" w:line="240" w:lineRule="auto"/>
        <w:jc w:val="both"/>
        <w:rPr>
          <w:rFonts w:ascii="Times New Roman" w:eastAsia="Calibri" w:hAnsi="Times New Roman" w:cs="Times New Roman"/>
          <w:b/>
          <w:color w:val="000000" w:themeColor="text1"/>
          <w:sz w:val="24"/>
          <w:szCs w:val="24"/>
          <w:lang w:val="en-GB"/>
        </w:rPr>
      </w:pPr>
    </w:p>
    <w:p w14:paraId="7F38DB67" w14:textId="77777777" w:rsidR="000047AC" w:rsidRDefault="008F16E4" w:rsidP="0037140F">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ISO/IEC 17011:201</w:t>
      </w:r>
      <w:r w:rsidR="005E4E2D" w:rsidRPr="00DE678A">
        <w:rPr>
          <w:rFonts w:ascii="Times New Roman" w:eastAsia="Calibri" w:hAnsi="Times New Roman" w:cs="Times New Roman"/>
          <w:color w:val="000000" w:themeColor="text1"/>
          <w:sz w:val="24"/>
          <w:szCs w:val="24"/>
          <w:lang w:val="en-GB"/>
        </w:rPr>
        <w:t>7 Conformity assessment</w:t>
      </w:r>
      <w:r w:rsidRPr="00DE678A">
        <w:rPr>
          <w:rFonts w:ascii="Times New Roman" w:eastAsia="Calibri" w:hAnsi="Times New Roman" w:cs="Times New Roman"/>
          <w:color w:val="000000" w:themeColor="text1"/>
          <w:sz w:val="24"/>
          <w:szCs w:val="24"/>
          <w:lang w:val="en-GB"/>
        </w:rPr>
        <w:t xml:space="preserve"> -</w:t>
      </w:r>
      <w:r w:rsidR="005E4E2D" w:rsidRPr="00DE678A">
        <w:rPr>
          <w:rFonts w:ascii="Times New Roman" w:eastAsia="Calibri" w:hAnsi="Times New Roman" w:cs="Times New Roman"/>
          <w:color w:val="000000" w:themeColor="text1"/>
          <w:sz w:val="24"/>
          <w:szCs w:val="24"/>
          <w:lang w:val="en-GB"/>
        </w:rPr>
        <w:t xml:space="preserve"> R</w:t>
      </w:r>
      <w:r w:rsidR="00D0482D" w:rsidRPr="00DE678A">
        <w:rPr>
          <w:rFonts w:ascii="Times New Roman" w:eastAsia="Calibri" w:hAnsi="Times New Roman" w:cs="Times New Roman"/>
          <w:color w:val="000000" w:themeColor="text1"/>
          <w:sz w:val="24"/>
          <w:szCs w:val="24"/>
          <w:lang w:val="en-GB"/>
        </w:rPr>
        <w:t>equirements for accreditation bodies accredit</w:t>
      </w:r>
      <w:r w:rsidR="005E4E2D" w:rsidRPr="00DE678A">
        <w:rPr>
          <w:rFonts w:ascii="Times New Roman" w:eastAsia="Calibri" w:hAnsi="Times New Roman" w:cs="Times New Roman"/>
          <w:color w:val="000000" w:themeColor="text1"/>
          <w:sz w:val="24"/>
          <w:szCs w:val="24"/>
          <w:lang w:val="en-GB"/>
        </w:rPr>
        <w:t>ing</w:t>
      </w:r>
      <w:r w:rsidR="00D0482D" w:rsidRPr="00DE678A">
        <w:rPr>
          <w:rFonts w:ascii="Times New Roman" w:eastAsia="Calibri" w:hAnsi="Times New Roman" w:cs="Times New Roman"/>
          <w:color w:val="000000" w:themeColor="text1"/>
          <w:sz w:val="24"/>
          <w:szCs w:val="24"/>
          <w:lang w:val="en-GB"/>
        </w:rPr>
        <w:t xml:space="preserve"> conformity assessment bodies</w:t>
      </w:r>
    </w:p>
    <w:p w14:paraId="4345F09C" w14:textId="77777777" w:rsidR="00423182" w:rsidRPr="0037140F" w:rsidRDefault="00423182" w:rsidP="0037140F">
      <w:pPr>
        <w:spacing w:after="0" w:line="240" w:lineRule="auto"/>
        <w:jc w:val="both"/>
        <w:rPr>
          <w:rFonts w:ascii="Times New Roman" w:eastAsia="Calibri" w:hAnsi="Times New Roman" w:cs="Times New Roman"/>
          <w:color w:val="000000" w:themeColor="text1"/>
          <w:sz w:val="24"/>
          <w:szCs w:val="24"/>
          <w:lang w:val="en-GB"/>
        </w:rPr>
      </w:pPr>
    </w:p>
    <w:p w14:paraId="6D2C639D" w14:textId="2A219398" w:rsidR="00301AAD" w:rsidRPr="002E6B30" w:rsidRDefault="00337AE9" w:rsidP="002E6B30">
      <w:pPr>
        <w:pStyle w:val="Heading1"/>
        <w:rPr>
          <w:rFonts w:ascii="Times New Roman" w:hAnsi="Times New Roman" w:cs="Times New Roman"/>
          <w:color w:val="auto"/>
          <w:sz w:val="24"/>
          <w:szCs w:val="24"/>
        </w:rPr>
      </w:pPr>
      <w:bookmarkStart w:id="3" w:name="_Toc24978104"/>
      <w:r w:rsidRPr="002E6B30">
        <w:rPr>
          <w:rFonts w:ascii="Times New Roman" w:hAnsi="Times New Roman" w:cs="Times New Roman"/>
          <w:color w:val="auto"/>
          <w:sz w:val="24"/>
          <w:szCs w:val="24"/>
        </w:rPr>
        <w:t>3.</w:t>
      </w:r>
      <w:r w:rsidR="00301AAD" w:rsidRPr="002E6B30">
        <w:rPr>
          <w:rFonts w:ascii="Times New Roman" w:hAnsi="Times New Roman" w:cs="Times New Roman"/>
          <w:color w:val="auto"/>
          <w:sz w:val="24"/>
          <w:szCs w:val="24"/>
        </w:rPr>
        <w:t xml:space="preserve"> RESPOSIBILITIES</w:t>
      </w:r>
      <w:bookmarkEnd w:id="3"/>
    </w:p>
    <w:p w14:paraId="5AF68129" w14:textId="77777777" w:rsidR="00F01362" w:rsidRDefault="00F01362" w:rsidP="00D0482D">
      <w:pPr>
        <w:spacing w:after="0" w:line="240" w:lineRule="auto"/>
        <w:jc w:val="both"/>
        <w:rPr>
          <w:rFonts w:ascii="Times New Roman" w:eastAsia="Calibri" w:hAnsi="Times New Roman" w:cs="Times New Roman"/>
          <w:b/>
          <w:color w:val="0070C0"/>
          <w:sz w:val="24"/>
          <w:szCs w:val="24"/>
          <w:lang w:val="en-GB"/>
        </w:rPr>
      </w:pPr>
    </w:p>
    <w:p w14:paraId="3DC5D6F0" w14:textId="77777777" w:rsidR="00D0482D" w:rsidRPr="00A643F7" w:rsidRDefault="00F01362" w:rsidP="00013FF1">
      <w:pPr>
        <w:spacing w:after="0" w:line="240" w:lineRule="auto"/>
        <w:jc w:val="both"/>
        <w:rPr>
          <w:rFonts w:ascii="Times New Roman" w:eastAsia="Calibri" w:hAnsi="Times New Roman" w:cs="Times New Roman"/>
          <w:sz w:val="24"/>
          <w:szCs w:val="24"/>
          <w:lang w:val="en-GB"/>
        </w:rPr>
      </w:pPr>
      <w:r w:rsidRPr="00A643F7">
        <w:rPr>
          <w:rFonts w:ascii="Times New Roman" w:eastAsia="Calibri" w:hAnsi="Times New Roman" w:cs="Times New Roman"/>
          <w:sz w:val="24"/>
          <w:szCs w:val="24"/>
          <w:lang w:val="en-GB"/>
        </w:rPr>
        <w:t>This policy is applied by DAK internal and external personnel involved in accreditation (PC/AC/TC</w:t>
      </w:r>
      <w:r w:rsidR="000C2300">
        <w:rPr>
          <w:rFonts w:ascii="Times New Roman" w:eastAsia="Calibri" w:hAnsi="Times New Roman" w:cs="Times New Roman"/>
          <w:sz w:val="24"/>
          <w:szCs w:val="24"/>
          <w:lang w:val="en-GB"/>
        </w:rPr>
        <w:t xml:space="preserve"> assessors ad experts</w:t>
      </w:r>
      <w:r w:rsidRPr="00A643F7">
        <w:rPr>
          <w:rFonts w:ascii="Times New Roman" w:eastAsia="Calibri" w:hAnsi="Times New Roman" w:cs="Times New Roman"/>
          <w:sz w:val="24"/>
          <w:szCs w:val="24"/>
          <w:lang w:val="en-GB"/>
        </w:rPr>
        <w:t>) and DAK clients</w:t>
      </w:r>
      <w:r w:rsidR="000C2300">
        <w:rPr>
          <w:rFonts w:ascii="Times New Roman" w:eastAsia="Calibri" w:hAnsi="Times New Roman" w:cs="Times New Roman"/>
          <w:sz w:val="24"/>
          <w:szCs w:val="24"/>
          <w:lang w:val="en-GB"/>
        </w:rPr>
        <w:t xml:space="preserve"> (CABs accredited and seeking accreditation by DAK)</w:t>
      </w:r>
      <w:r w:rsidRPr="00A643F7">
        <w:rPr>
          <w:rFonts w:ascii="Times New Roman" w:eastAsia="Calibri" w:hAnsi="Times New Roman" w:cs="Times New Roman"/>
          <w:sz w:val="24"/>
          <w:szCs w:val="24"/>
          <w:lang w:val="en-GB"/>
        </w:rPr>
        <w:t>.</w:t>
      </w:r>
    </w:p>
    <w:p w14:paraId="69D3953E" w14:textId="77777777" w:rsidR="00013FF1" w:rsidRPr="00DE678A" w:rsidRDefault="00013FF1" w:rsidP="00013FF1">
      <w:pPr>
        <w:spacing w:after="0" w:line="240" w:lineRule="auto"/>
        <w:jc w:val="both"/>
        <w:rPr>
          <w:rFonts w:ascii="Times New Roman" w:eastAsia="Calibri" w:hAnsi="Times New Roman" w:cs="Times New Roman"/>
          <w:color w:val="0070C0"/>
          <w:sz w:val="24"/>
          <w:szCs w:val="24"/>
          <w:lang w:val="en-GB"/>
        </w:rPr>
      </w:pPr>
    </w:p>
    <w:p w14:paraId="7511667A" w14:textId="6527FD7E" w:rsidR="005E4E2D" w:rsidRPr="00C04A53" w:rsidRDefault="00013FF1" w:rsidP="00C04A53">
      <w:pPr>
        <w:pStyle w:val="Heading1"/>
        <w:rPr>
          <w:rFonts w:ascii="Times New Roman" w:hAnsi="Times New Roman" w:cs="Times New Roman"/>
          <w:color w:val="auto"/>
          <w:sz w:val="24"/>
          <w:szCs w:val="24"/>
        </w:rPr>
      </w:pPr>
      <w:bookmarkStart w:id="4" w:name="_Toc24978105"/>
      <w:r w:rsidRPr="00C04A53">
        <w:rPr>
          <w:rFonts w:ascii="Times New Roman" w:hAnsi="Times New Roman" w:cs="Times New Roman"/>
          <w:color w:val="auto"/>
          <w:sz w:val="24"/>
          <w:szCs w:val="24"/>
        </w:rPr>
        <w:t>4</w:t>
      </w:r>
      <w:r w:rsidR="005F28AE" w:rsidRPr="00C04A53">
        <w:rPr>
          <w:rFonts w:ascii="Times New Roman" w:hAnsi="Times New Roman" w:cs="Times New Roman"/>
          <w:color w:val="auto"/>
          <w:sz w:val="24"/>
          <w:szCs w:val="24"/>
        </w:rPr>
        <w:t xml:space="preserve">. </w:t>
      </w:r>
      <w:r w:rsidR="005E4E2D" w:rsidRPr="00C04A53">
        <w:rPr>
          <w:rFonts w:ascii="Times New Roman" w:hAnsi="Times New Roman" w:cs="Times New Roman"/>
          <w:color w:val="auto"/>
          <w:sz w:val="24"/>
          <w:szCs w:val="24"/>
        </w:rPr>
        <w:t>GLOSSARY AND ABBREVIATIONS</w:t>
      </w:r>
      <w:bookmarkEnd w:id="4"/>
    </w:p>
    <w:p w14:paraId="3795594C" w14:textId="77777777" w:rsidR="005E4E2D" w:rsidRPr="00DE678A" w:rsidRDefault="005E4E2D" w:rsidP="005E4E2D">
      <w:pPr>
        <w:pStyle w:val="Heading1"/>
        <w:tabs>
          <w:tab w:val="left" w:pos="567"/>
        </w:tabs>
        <w:spacing w:before="0" w:line="240" w:lineRule="auto"/>
        <w:rPr>
          <w:rFonts w:asciiTheme="majorBidi" w:eastAsia="Calibri" w:hAnsiTheme="majorBidi"/>
          <w:color w:val="000000" w:themeColor="text1"/>
          <w:sz w:val="24"/>
          <w:szCs w:val="24"/>
          <w:lang w:val="en-GB"/>
        </w:rPr>
      </w:pPr>
    </w:p>
    <w:p w14:paraId="778F7F90" w14:textId="029B22A8" w:rsidR="00B4796F" w:rsidRPr="00CE7926" w:rsidRDefault="000047AC" w:rsidP="00CE7926">
      <w:pPr>
        <w:pStyle w:val="Heading2"/>
        <w:rPr>
          <w:rFonts w:ascii="Times New Roman" w:hAnsi="Times New Roman" w:cs="Times New Roman"/>
          <w:b/>
          <w:color w:val="auto"/>
          <w:sz w:val="24"/>
          <w:szCs w:val="24"/>
        </w:rPr>
      </w:pPr>
      <w:bookmarkStart w:id="5" w:name="_Toc24978106"/>
      <w:r w:rsidRPr="00CE7926">
        <w:rPr>
          <w:rFonts w:ascii="Times New Roman" w:hAnsi="Times New Roman" w:cs="Times New Roman"/>
          <w:b/>
          <w:color w:val="auto"/>
          <w:sz w:val="24"/>
          <w:szCs w:val="24"/>
        </w:rPr>
        <w:t>4</w:t>
      </w:r>
      <w:r w:rsidR="00CE7926" w:rsidRPr="00CE7926">
        <w:rPr>
          <w:rFonts w:ascii="Times New Roman" w:hAnsi="Times New Roman" w:cs="Times New Roman"/>
          <w:b/>
          <w:color w:val="auto"/>
          <w:sz w:val="24"/>
          <w:szCs w:val="24"/>
        </w:rPr>
        <w:t xml:space="preserve">.1 </w:t>
      </w:r>
      <w:r w:rsidR="00B4796F" w:rsidRPr="00CE7926">
        <w:rPr>
          <w:rFonts w:ascii="Times New Roman" w:hAnsi="Times New Roman" w:cs="Times New Roman"/>
          <w:b/>
          <w:color w:val="auto"/>
          <w:sz w:val="24"/>
          <w:szCs w:val="24"/>
        </w:rPr>
        <w:t>Glossary</w:t>
      </w:r>
      <w:bookmarkEnd w:id="5"/>
    </w:p>
    <w:p w14:paraId="571DB80A" w14:textId="77777777" w:rsidR="00B4796F" w:rsidRPr="00DE678A" w:rsidRDefault="00B4796F" w:rsidP="005E4E2D">
      <w:pPr>
        <w:pStyle w:val="Heading1"/>
        <w:tabs>
          <w:tab w:val="left" w:pos="567"/>
        </w:tabs>
        <w:spacing w:before="0" w:line="240" w:lineRule="auto"/>
        <w:rPr>
          <w:rFonts w:asciiTheme="majorBidi" w:eastAsia="Calibri" w:hAnsiTheme="majorBidi"/>
          <w:color w:val="000000" w:themeColor="text1"/>
          <w:sz w:val="24"/>
          <w:szCs w:val="24"/>
          <w:lang w:val="en-GB"/>
        </w:rPr>
      </w:pPr>
    </w:p>
    <w:p w14:paraId="2A2A33DF" w14:textId="77777777" w:rsidR="00D33053" w:rsidRDefault="00025DA4" w:rsidP="00A643F7">
      <w:pPr>
        <w:spacing w:after="0" w:line="240" w:lineRule="auto"/>
        <w:rPr>
          <w:rFonts w:ascii="Times New Roman" w:hAnsi="Times New Roman" w:cs="Times New Roman"/>
          <w:sz w:val="24"/>
          <w:szCs w:val="24"/>
          <w:lang w:val="en-GB"/>
        </w:rPr>
      </w:pPr>
      <w:bookmarkStart w:id="6" w:name="_Toc894736"/>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w:t>
      </w:r>
      <w:r w:rsidR="00D33053">
        <w:rPr>
          <w:rFonts w:ascii="Times New Roman" w:hAnsi="Times New Roman" w:cs="Times New Roman"/>
          <w:sz w:val="24"/>
          <w:szCs w:val="24"/>
          <w:lang w:val="en-GB"/>
        </w:rPr>
        <w:t xml:space="preserve"> and below </w:t>
      </w:r>
      <w:r w:rsidRPr="007672D6">
        <w:rPr>
          <w:rFonts w:ascii="Times New Roman" w:hAnsi="Times New Roman" w:cs="Times New Roman"/>
          <w:sz w:val="24"/>
          <w:szCs w:val="24"/>
          <w:lang w:val="en-GB"/>
        </w:rPr>
        <w:t xml:space="preserve">apply. </w:t>
      </w:r>
    </w:p>
    <w:p w14:paraId="3014BC7E" w14:textId="77777777" w:rsidR="00D33053" w:rsidRDefault="00D33053" w:rsidP="00D33053">
      <w:pPr>
        <w:spacing w:after="0" w:line="240" w:lineRule="auto"/>
        <w:rPr>
          <w:rFonts w:ascii="Times New Roman" w:hAnsi="Times New Roman" w:cs="Times New Roman"/>
          <w:b/>
          <w:sz w:val="24"/>
          <w:szCs w:val="24"/>
          <w:lang w:val="en-GB"/>
        </w:rPr>
      </w:pPr>
    </w:p>
    <w:p w14:paraId="268FF661" w14:textId="77777777" w:rsidR="009C7628" w:rsidRPr="00A643F7" w:rsidRDefault="009C7628" w:rsidP="00D33053">
      <w:pPr>
        <w:spacing w:after="0" w:line="240" w:lineRule="auto"/>
        <w:rPr>
          <w:rFonts w:ascii="Times New Roman" w:hAnsi="Times New Roman" w:cs="Times New Roman"/>
          <w:sz w:val="24"/>
          <w:szCs w:val="24"/>
        </w:rPr>
      </w:pPr>
      <w:r w:rsidRPr="00301AAD">
        <w:rPr>
          <w:rFonts w:ascii="Times New Roman" w:hAnsi="Times New Roman" w:cs="Times New Roman"/>
          <w:b/>
          <w:sz w:val="24"/>
          <w:szCs w:val="24"/>
          <w:lang w:val="en-GB"/>
        </w:rPr>
        <w:t>Finding</w:t>
      </w:r>
      <w:r w:rsidRPr="009C5BC7">
        <w:rPr>
          <w:rFonts w:ascii="Times New Roman" w:hAnsi="Times New Roman" w:cs="Times New Roman"/>
          <w:sz w:val="24"/>
          <w:szCs w:val="24"/>
          <w:lang w:val="en-GB"/>
        </w:rPr>
        <w:t xml:space="preserve">: result of the evaluation of the collected evidence against accreditation criteria. </w:t>
      </w:r>
      <w:r w:rsidR="00B4796F" w:rsidRPr="009C5BC7">
        <w:rPr>
          <w:rFonts w:ascii="Times New Roman" w:hAnsi="Times New Roman" w:cs="Times New Roman"/>
          <w:sz w:val="24"/>
          <w:szCs w:val="24"/>
          <w:lang w:val="en-GB"/>
        </w:rPr>
        <w:t xml:space="preserve">A </w:t>
      </w:r>
      <w:r w:rsidRPr="009C5BC7">
        <w:rPr>
          <w:rFonts w:ascii="Times New Roman" w:hAnsi="Times New Roman" w:cs="Times New Roman"/>
          <w:sz w:val="24"/>
          <w:szCs w:val="24"/>
          <w:lang w:val="en-GB"/>
        </w:rPr>
        <w:t>finding can indicate conformity or nonconformity.</w:t>
      </w:r>
      <w:bookmarkEnd w:id="6"/>
    </w:p>
    <w:p w14:paraId="7BEBC173" w14:textId="77777777" w:rsidR="009C7628" w:rsidRPr="009C5BC7" w:rsidRDefault="009C7628" w:rsidP="00D33053">
      <w:pPr>
        <w:spacing w:after="0" w:line="240" w:lineRule="auto"/>
        <w:rPr>
          <w:rFonts w:ascii="Times New Roman" w:hAnsi="Times New Roman" w:cs="Times New Roman"/>
          <w:b/>
          <w:sz w:val="24"/>
          <w:szCs w:val="24"/>
          <w:lang w:val="en-GB"/>
        </w:rPr>
      </w:pPr>
    </w:p>
    <w:p w14:paraId="1E694D4B" w14:textId="77777777" w:rsidR="009C7628" w:rsidRPr="009C5BC7" w:rsidRDefault="009C7628" w:rsidP="00D33053">
      <w:pPr>
        <w:spacing w:after="0" w:line="240" w:lineRule="auto"/>
        <w:rPr>
          <w:rFonts w:ascii="Times New Roman" w:hAnsi="Times New Roman" w:cs="Times New Roman"/>
          <w:b/>
          <w:sz w:val="24"/>
          <w:szCs w:val="24"/>
          <w:lang w:val="en-GB"/>
        </w:rPr>
      </w:pPr>
      <w:bookmarkStart w:id="7" w:name="_Toc894737"/>
      <w:bookmarkStart w:id="8" w:name="_Toc939752"/>
      <w:r w:rsidRPr="00301AAD">
        <w:rPr>
          <w:rFonts w:ascii="Times New Roman" w:hAnsi="Times New Roman" w:cs="Times New Roman"/>
          <w:b/>
          <w:sz w:val="24"/>
          <w:szCs w:val="24"/>
          <w:lang w:val="en-GB"/>
        </w:rPr>
        <w:t>Evidence</w:t>
      </w:r>
      <w:r w:rsidRPr="009C5BC7">
        <w:rPr>
          <w:rFonts w:ascii="Times New Roman" w:hAnsi="Times New Roman" w:cs="Times New Roman"/>
          <w:sz w:val="24"/>
          <w:szCs w:val="24"/>
          <w:lang w:val="en-GB"/>
        </w:rPr>
        <w:t>: records, statement of fact or other information, which are relevant to the criteria and verifiable</w:t>
      </w:r>
      <w:bookmarkEnd w:id="7"/>
      <w:bookmarkEnd w:id="8"/>
    </w:p>
    <w:p w14:paraId="48C6FB1B" w14:textId="77777777" w:rsidR="009C7628" w:rsidRPr="009C5BC7" w:rsidRDefault="009C7628">
      <w:pPr>
        <w:spacing w:after="0" w:line="240" w:lineRule="auto"/>
        <w:rPr>
          <w:rFonts w:ascii="Times New Roman" w:hAnsi="Times New Roman" w:cs="Times New Roman"/>
          <w:b/>
          <w:sz w:val="24"/>
          <w:szCs w:val="24"/>
          <w:lang w:val="en-GB"/>
        </w:rPr>
      </w:pPr>
    </w:p>
    <w:p w14:paraId="149C11E1" w14:textId="77777777" w:rsidR="009C7628" w:rsidRPr="009C5BC7" w:rsidRDefault="009C7628">
      <w:pPr>
        <w:spacing w:after="0" w:line="240" w:lineRule="auto"/>
        <w:rPr>
          <w:rFonts w:ascii="Times New Roman" w:hAnsi="Times New Roman" w:cs="Times New Roman"/>
          <w:b/>
          <w:sz w:val="24"/>
          <w:szCs w:val="24"/>
          <w:lang w:val="en-GB"/>
        </w:rPr>
      </w:pPr>
      <w:bookmarkStart w:id="9" w:name="_Toc894738"/>
      <w:bookmarkStart w:id="10" w:name="_Toc939753"/>
      <w:r w:rsidRPr="00301AAD">
        <w:rPr>
          <w:rFonts w:ascii="Times New Roman" w:hAnsi="Times New Roman" w:cs="Times New Roman"/>
          <w:b/>
          <w:sz w:val="24"/>
          <w:szCs w:val="24"/>
          <w:lang w:val="en-GB"/>
        </w:rPr>
        <w:t>Conformity</w:t>
      </w:r>
      <w:r w:rsidRPr="009C5BC7">
        <w:rPr>
          <w:rFonts w:ascii="Times New Roman" w:hAnsi="Times New Roman" w:cs="Times New Roman"/>
          <w:sz w:val="24"/>
          <w:szCs w:val="24"/>
          <w:lang w:val="en-GB"/>
        </w:rPr>
        <w:t>: fulfilment of a requirement</w:t>
      </w:r>
      <w:bookmarkEnd w:id="9"/>
      <w:bookmarkEnd w:id="10"/>
    </w:p>
    <w:p w14:paraId="42669AC3" w14:textId="77777777" w:rsidR="001B33EE" w:rsidRPr="009C5BC7" w:rsidRDefault="001B33EE">
      <w:pPr>
        <w:spacing w:after="0" w:line="240" w:lineRule="auto"/>
        <w:rPr>
          <w:rFonts w:ascii="Times New Roman" w:hAnsi="Times New Roman" w:cs="Times New Roman"/>
          <w:sz w:val="24"/>
          <w:szCs w:val="24"/>
          <w:lang w:val="en-GB"/>
        </w:rPr>
      </w:pPr>
    </w:p>
    <w:p w14:paraId="754C0341" w14:textId="77777777" w:rsidR="009C7628" w:rsidRPr="009C5BC7" w:rsidRDefault="009C7628">
      <w:pPr>
        <w:spacing w:after="0" w:line="240" w:lineRule="auto"/>
        <w:rPr>
          <w:rFonts w:ascii="Times New Roman" w:hAnsi="Times New Roman" w:cs="Times New Roman"/>
          <w:b/>
          <w:sz w:val="24"/>
          <w:szCs w:val="24"/>
          <w:lang w:val="en-GB"/>
        </w:rPr>
      </w:pPr>
      <w:bookmarkStart w:id="11" w:name="_Toc894739"/>
      <w:bookmarkStart w:id="12" w:name="_Toc939754"/>
      <w:r w:rsidRPr="00301AAD">
        <w:rPr>
          <w:rFonts w:ascii="Times New Roman" w:hAnsi="Times New Roman" w:cs="Times New Roman"/>
          <w:b/>
          <w:sz w:val="24"/>
          <w:szCs w:val="24"/>
          <w:lang w:val="en-GB"/>
        </w:rPr>
        <w:t>Nonconformity:</w:t>
      </w:r>
      <w:r w:rsidRPr="009C5BC7">
        <w:rPr>
          <w:rFonts w:ascii="Times New Roman" w:hAnsi="Times New Roman" w:cs="Times New Roman"/>
          <w:sz w:val="24"/>
          <w:szCs w:val="24"/>
          <w:lang w:val="en-GB"/>
        </w:rPr>
        <w:t xml:space="preserve"> non-fulfilment of a requirement</w:t>
      </w:r>
      <w:bookmarkEnd w:id="11"/>
      <w:bookmarkEnd w:id="12"/>
    </w:p>
    <w:p w14:paraId="0025BB58" w14:textId="77777777" w:rsidR="001B33EE" w:rsidRPr="009C5BC7" w:rsidRDefault="001B33EE">
      <w:pPr>
        <w:spacing w:after="0" w:line="240" w:lineRule="auto"/>
        <w:rPr>
          <w:rFonts w:ascii="Times New Roman" w:hAnsi="Times New Roman" w:cs="Times New Roman"/>
          <w:sz w:val="24"/>
          <w:szCs w:val="24"/>
          <w:lang w:val="en-GB"/>
        </w:rPr>
      </w:pPr>
    </w:p>
    <w:p w14:paraId="265C9F05" w14:textId="77777777" w:rsidR="00545AAE" w:rsidRPr="00DE678A" w:rsidRDefault="00545AAE" w:rsidP="001B33EE">
      <w:pPr>
        <w:spacing w:after="0" w:line="240" w:lineRule="auto"/>
        <w:rPr>
          <w:rFonts w:ascii="Times New Roman" w:hAnsi="Times New Roman" w:cs="Times New Roman"/>
          <w:sz w:val="24"/>
          <w:szCs w:val="24"/>
          <w:lang w:val="en-GB"/>
        </w:rPr>
      </w:pPr>
    </w:p>
    <w:p w14:paraId="4A4D523D" w14:textId="3E3377B5" w:rsidR="001B33EE" w:rsidRPr="00F569FF" w:rsidRDefault="000047AC" w:rsidP="00F569FF">
      <w:pPr>
        <w:pStyle w:val="Heading2"/>
        <w:rPr>
          <w:rFonts w:ascii="Times New Roman" w:eastAsia="Calibri" w:hAnsi="Times New Roman" w:cs="Times New Roman"/>
          <w:b/>
          <w:color w:val="auto"/>
          <w:sz w:val="24"/>
          <w:szCs w:val="24"/>
          <w:lang w:val="en-GB"/>
        </w:rPr>
      </w:pPr>
      <w:bookmarkStart w:id="13" w:name="_Toc24978107"/>
      <w:r w:rsidRPr="00F569FF">
        <w:rPr>
          <w:rFonts w:ascii="Times New Roman" w:eastAsia="Calibri" w:hAnsi="Times New Roman" w:cs="Times New Roman"/>
          <w:b/>
          <w:color w:val="auto"/>
          <w:sz w:val="24"/>
          <w:szCs w:val="24"/>
          <w:lang w:val="en-GB"/>
        </w:rPr>
        <w:t>4</w:t>
      </w:r>
      <w:r w:rsidR="00CE7926" w:rsidRPr="00F569FF">
        <w:rPr>
          <w:rFonts w:ascii="Times New Roman" w:eastAsia="Calibri" w:hAnsi="Times New Roman" w:cs="Times New Roman"/>
          <w:b/>
          <w:color w:val="auto"/>
          <w:sz w:val="24"/>
          <w:szCs w:val="24"/>
          <w:lang w:val="en-GB"/>
        </w:rPr>
        <w:t xml:space="preserve">.2 </w:t>
      </w:r>
      <w:r w:rsidR="001B33EE" w:rsidRPr="00F569FF">
        <w:rPr>
          <w:rFonts w:ascii="Times New Roman" w:eastAsia="Calibri" w:hAnsi="Times New Roman" w:cs="Times New Roman"/>
          <w:b/>
          <w:color w:val="auto"/>
          <w:sz w:val="24"/>
          <w:szCs w:val="24"/>
          <w:lang w:val="en-GB"/>
        </w:rPr>
        <w:t>Abbreviations</w:t>
      </w:r>
      <w:bookmarkEnd w:id="13"/>
    </w:p>
    <w:p w14:paraId="1358DCAF" w14:textId="77777777" w:rsidR="001B33EE" w:rsidRPr="00DE678A" w:rsidRDefault="001B33EE" w:rsidP="001B33EE">
      <w:pPr>
        <w:tabs>
          <w:tab w:val="left" w:pos="567"/>
        </w:tabs>
        <w:spacing w:after="0" w:line="240" w:lineRule="auto"/>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1B33EE" w:rsidRPr="00DE678A" w14:paraId="77AD3F41" w14:textId="77777777" w:rsidTr="0044655A">
        <w:tc>
          <w:tcPr>
            <w:tcW w:w="2122" w:type="dxa"/>
          </w:tcPr>
          <w:p w14:paraId="5316D5FA" w14:textId="77777777" w:rsidR="000C2300" w:rsidRDefault="000C2300"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w:t>
            </w:r>
          </w:p>
          <w:p w14:paraId="2E1BBEB3"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CAB</w:t>
            </w:r>
          </w:p>
        </w:tc>
        <w:tc>
          <w:tcPr>
            <w:tcW w:w="7087" w:type="dxa"/>
          </w:tcPr>
          <w:p w14:paraId="796F9B8F" w14:textId="77777777" w:rsidR="000C2300" w:rsidRDefault="000C2300"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Assessor</w:t>
            </w:r>
          </w:p>
          <w:p w14:paraId="49AFC88A"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Conformity assessment body</w:t>
            </w:r>
          </w:p>
        </w:tc>
      </w:tr>
      <w:tr w:rsidR="001B33EE" w:rsidRPr="00DE678A" w14:paraId="511A5C92" w14:textId="77777777" w:rsidTr="0044655A">
        <w:tc>
          <w:tcPr>
            <w:tcW w:w="2122" w:type="dxa"/>
          </w:tcPr>
          <w:p w14:paraId="4C609ABF"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DAK</w:t>
            </w:r>
          </w:p>
        </w:tc>
        <w:tc>
          <w:tcPr>
            <w:tcW w:w="7087" w:type="dxa"/>
          </w:tcPr>
          <w:p w14:paraId="311D6E39" w14:textId="274F8AB7" w:rsidR="001B33EE" w:rsidRPr="00DE678A" w:rsidRDefault="00773E6A"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Kosovo General Accreditation Directorate</w:t>
            </w:r>
          </w:p>
        </w:tc>
      </w:tr>
      <w:tr w:rsidR="00545AAE" w:rsidRPr="00DE678A" w14:paraId="4C3D64BE" w14:textId="77777777" w:rsidTr="0044655A">
        <w:tc>
          <w:tcPr>
            <w:tcW w:w="2122" w:type="dxa"/>
          </w:tcPr>
          <w:p w14:paraId="0731A717" w14:textId="77777777" w:rsidR="00BB196E"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PC</w:t>
            </w:r>
          </w:p>
          <w:p w14:paraId="16E3E417" w14:textId="77777777" w:rsidR="00BB196E"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w:t>
            </w:r>
          </w:p>
          <w:p w14:paraId="3FB20BD0" w14:textId="77777777" w:rsidR="00BB196E" w:rsidRPr="00DE678A"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TC</w:t>
            </w:r>
          </w:p>
        </w:tc>
        <w:tc>
          <w:tcPr>
            <w:tcW w:w="7087" w:type="dxa"/>
          </w:tcPr>
          <w:p w14:paraId="2EF23BDF" w14:textId="77777777" w:rsidR="00BB196E"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Professional Council</w:t>
            </w:r>
          </w:p>
          <w:p w14:paraId="1DEFB56D" w14:textId="77777777" w:rsidR="00BB196E"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Accreditation Council</w:t>
            </w:r>
          </w:p>
          <w:p w14:paraId="100FE128" w14:textId="77777777" w:rsidR="00BB196E" w:rsidRPr="00DE678A" w:rsidRDefault="00BB196E" w:rsidP="001B33EE">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Technical Committee</w:t>
            </w:r>
          </w:p>
        </w:tc>
      </w:tr>
      <w:tr w:rsidR="001B33EE" w:rsidRPr="00DE678A" w14:paraId="24E90ADD" w14:textId="77777777" w:rsidTr="0044655A">
        <w:tc>
          <w:tcPr>
            <w:tcW w:w="2122" w:type="dxa"/>
          </w:tcPr>
          <w:p w14:paraId="6A4EA31D"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lastRenderedPageBreak/>
              <w:t>LA</w:t>
            </w:r>
          </w:p>
        </w:tc>
        <w:tc>
          <w:tcPr>
            <w:tcW w:w="7087" w:type="dxa"/>
          </w:tcPr>
          <w:p w14:paraId="65D4846C"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Lead assessor</w:t>
            </w:r>
          </w:p>
        </w:tc>
      </w:tr>
      <w:tr w:rsidR="001B33EE" w:rsidRPr="00DE678A" w14:paraId="6DF3AA47" w14:textId="77777777" w:rsidTr="0044655A">
        <w:tc>
          <w:tcPr>
            <w:tcW w:w="2122" w:type="dxa"/>
          </w:tcPr>
          <w:p w14:paraId="1B527BC8"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TA</w:t>
            </w:r>
          </w:p>
        </w:tc>
        <w:tc>
          <w:tcPr>
            <w:tcW w:w="7087" w:type="dxa"/>
          </w:tcPr>
          <w:p w14:paraId="466363AC"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Technical assessor</w:t>
            </w:r>
          </w:p>
        </w:tc>
      </w:tr>
      <w:tr w:rsidR="001B33EE" w:rsidRPr="00DE678A" w14:paraId="29FF2B65" w14:textId="77777777" w:rsidTr="0044655A">
        <w:tc>
          <w:tcPr>
            <w:tcW w:w="2122" w:type="dxa"/>
          </w:tcPr>
          <w:p w14:paraId="37D85C1B"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TE</w:t>
            </w:r>
          </w:p>
        </w:tc>
        <w:tc>
          <w:tcPr>
            <w:tcW w:w="7087" w:type="dxa"/>
          </w:tcPr>
          <w:p w14:paraId="02524A75" w14:textId="77777777" w:rsidR="001B33EE" w:rsidRPr="00DE678A" w:rsidRDefault="001B33EE" w:rsidP="001B33EE">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Technical expert</w:t>
            </w:r>
          </w:p>
        </w:tc>
      </w:tr>
    </w:tbl>
    <w:p w14:paraId="43447618" w14:textId="01E16703" w:rsidR="007B4878" w:rsidRPr="003D22CF" w:rsidRDefault="009C7628" w:rsidP="00A643F7">
      <w:pPr>
        <w:pStyle w:val="Heading1"/>
        <w:tabs>
          <w:tab w:val="left" w:pos="567"/>
        </w:tabs>
        <w:spacing w:before="0" w:line="240" w:lineRule="auto"/>
        <w:rPr>
          <w:lang w:val="en-GB"/>
        </w:rPr>
      </w:pPr>
      <w:r w:rsidRPr="00DE678A">
        <w:rPr>
          <w:rFonts w:ascii="Times New Roman" w:eastAsia="Calibri" w:hAnsi="Times New Roman" w:cs="Times New Roman"/>
          <w:b w:val="0"/>
          <w:color w:val="000000" w:themeColor="text1"/>
          <w:sz w:val="24"/>
          <w:szCs w:val="24"/>
          <w:lang w:val="en-GB"/>
        </w:rPr>
        <w:t xml:space="preserve"> </w:t>
      </w:r>
    </w:p>
    <w:p w14:paraId="3473591A" w14:textId="14228935" w:rsidR="007B4878" w:rsidRPr="00220A9C" w:rsidRDefault="00220A9C" w:rsidP="00220A9C">
      <w:pPr>
        <w:pStyle w:val="Heading1"/>
        <w:rPr>
          <w:rFonts w:ascii="Times New Roman" w:hAnsi="Times New Roman" w:cs="Times New Roman"/>
          <w:color w:val="auto"/>
          <w:sz w:val="24"/>
          <w:szCs w:val="24"/>
        </w:rPr>
      </w:pPr>
      <w:bookmarkStart w:id="14" w:name="_Toc24978108"/>
      <w:r w:rsidRPr="00220A9C">
        <w:rPr>
          <w:rFonts w:ascii="Times New Roman" w:hAnsi="Times New Roman" w:cs="Times New Roman"/>
          <w:color w:val="auto"/>
          <w:sz w:val="24"/>
          <w:szCs w:val="24"/>
        </w:rPr>
        <w:t xml:space="preserve">5. </w:t>
      </w:r>
      <w:r w:rsidR="00EA74F7" w:rsidRPr="00220A9C">
        <w:rPr>
          <w:rFonts w:ascii="Times New Roman" w:hAnsi="Times New Roman" w:cs="Times New Roman"/>
          <w:color w:val="auto"/>
          <w:sz w:val="24"/>
          <w:szCs w:val="24"/>
        </w:rPr>
        <w:t>DESCRIPTION OF POLICY</w:t>
      </w:r>
      <w:bookmarkEnd w:id="14"/>
    </w:p>
    <w:p w14:paraId="482E00E1" w14:textId="77777777" w:rsidR="007B4878" w:rsidRPr="007B4878" w:rsidRDefault="007B4878" w:rsidP="007B4878">
      <w:pPr>
        <w:spacing w:after="0" w:line="240" w:lineRule="auto"/>
        <w:rPr>
          <w:lang w:val="en-GB"/>
        </w:rPr>
      </w:pPr>
    </w:p>
    <w:p w14:paraId="27E487B0" w14:textId="02C15160" w:rsidR="00DE678A" w:rsidRPr="006A050D" w:rsidRDefault="00D33053" w:rsidP="006A050D">
      <w:pPr>
        <w:pStyle w:val="Heading2"/>
        <w:rPr>
          <w:rFonts w:ascii="Times New Roman" w:eastAsia="Calibri" w:hAnsi="Times New Roman" w:cs="Times New Roman"/>
          <w:b/>
          <w:color w:val="auto"/>
          <w:sz w:val="24"/>
          <w:szCs w:val="24"/>
          <w:u w:val="single"/>
          <w:lang w:val="en-GB"/>
        </w:rPr>
      </w:pPr>
      <w:bookmarkStart w:id="15" w:name="_Toc24978109"/>
      <w:bookmarkEnd w:id="0"/>
      <w:r w:rsidRPr="006A050D">
        <w:rPr>
          <w:rFonts w:ascii="Times New Roman" w:eastAsia="Calibri" w:hAnsi="Times New Roman" w:cs="Times New Roman"/>
          <w:b/>
          <w:color w:val="auto"/>
          <w:sz w:val="24"/>
          <w:szCs w:val="24"/>
          <w:lang w:val="en-GB"/>
        </w:rPr>
        <w:t xml:space="preserve">5.1 </w:t>
      </w:r>
      <w:r w:rsidR="00DE678A" w:rsidRPr="006A050D">
        <w:rPr>
          <w:rFonts w:ascii="Times New Roman" w:eastAsia="Calibri" w:hAnsi="Times New Roman" w:cs="Times New Roman"/>
          <w:b/>
          <w:color w:val="auto"/>
          <w:sz w:val="24"/>
          <w:szCs w:val="24"/>
          <w:lang w:val="en-GB"/>
        </w:rPr>
        <w:tab/>
        <w:t>General rules</w:t>
      </w:r>
      <w:bookmarkEnd w:id="15"/>
    </w:p>
    <w:p w14:paraId="05363D83" w14:textId="77777777" w:rsidR="00DE678A" w:rsidRPr="00DE678A" w:rsidRDefault="00DE678A" w:rsidP="00DE678A">
      <w:pPr>
        <w:tabs>
          <w:tab w:val="left" w:pos="851"/>
        </w:tabs>
        <w:spacing w:after="0" w:line="240" w:lineRule="auto"/>
        <w:jc w:val="both"/>
        <w:rPr>
          <w:rFonts w:ascii="Times New Roman" w:eastAsia="Calibri" w:hAnsi="Times New Roman" w:cs="Times New Roman"/>
          <w:color w:val="000000" w:themeColor="text1"/>
          <w:sz w:val="24"/>
          <w:szCs w:val="24"/>
          <w:lang w:val="en-GB"/>
        </w:rPr>
      </w:pPr>
    </w:p>
    <w:p w14:paraId="0CE28483"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The number of assessment days of the certain type of accreditation (i.e. initial accreditation, extension of scope of accreditation, surveillance, renewal of accreditation), depends on the scope of accreditation, the number of locations and the size of CAB.</w:t>
      </w:r>
    </w:p>
    <w:p w14:paraId="690258B9"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1A12A7D2"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The assessment days covers the different type of assessment techniques (e.g. on-site assessment, remote assessment, witnessing, document review, file review, measurement audits, review of performance in proficiency testing, interviewing, unannounced visit). </w:t>
      </w:r>
    </w:p>
    <w:p w14:paraId="58BCEB5E"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629E6B4F"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An integral part of the assessment for granting or maintaining accreditation is </w:t>
      </w:r>
      <w:r w:rsidRPr="00DE678A">
        <w:rPr>
          <w:rFonts w:ascii="Times New Roman" w:eastAsia="Calibri" w:hAnsi="Times New Roman" w:cs="Times New Roman"/>
          <w:color w:val="000000" w:themeColor="text1"/>
          <w:sz w:val="24"/>
          <w:szCs w:val="24"/>
          <w:u w:val="single"/>
          <w:lang w:val="en-GB"/>
        </w:rPr>
        <w:t>witnessing</w:t>
      </w:r>
      <w:r w:rsidRPr="00DE678A">
        <w:rPr>
          <w:rFonts w:ascii="Times New Roman" w:eastAsia="Calibri" w:hAnsi="Times New Roman" w:cs="Times New Roman"/>
          <w:color w:val="000000" w:themeColor="text1"/>
          <w:sz w:val="24"/>
          <w:szCs w:val="24"/>
          <w:lang w:val="en-GB"/>
        </w:rPr>
        <w:t xml:space="preserve"> of performance of the CAB in order to obtain objective evidence that it is competent to carry out the conformity assessment activities. The number of witnessing has to be representative for the requested or granted scope of accreditation. Criteria for determining the number of days for witnessing of conformity assessment activities may include the following: </w:t>
      </w:r>
    </w:p>
    <w:p w14:paraId="7287A0B2" w14:textId="77777777" w:rsidR="00DE678A" w:rsidRPr="00DE678A" w:rsidRDefault="00DE678A" w:rsidP="00DE678A">
      <w:pPr>
        <w:pStyle w:val="ListParagraph"/>
        <w:numPr>
          <w:ilvl w:val="0"/>
          <w:numId w:val="28"/>
        </w:numPr>
        <w:spacing w:before="120" w:after="0" w:line="240" w:lineRule="auto"/>
        <w:ind w:left="425" w:hanging="425"/>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complexity of conformity assessment activities; </w:t>
      </w:r>
    </w:p>
    <w:p w14:paraId="582CB530" w14:textId="77777777" w:rsidR="00DE678A" w:rsidRPr="00DE678A" w:rsidRDefault="00DE678A" w:rsidP="00DE678A">
      <w:pPr>
        <w:pStyle w:val="ListParagraph"/>
        <w:numPr>
          <w:ilvl w:val="0"/>
          <w:numId w:val="28"/>
        </w:numPr>
        <w:spacing w:before="120" w:after="0" w:line="240" w:lineRule="auto"/>
        <w:ind w:left="425" w:hanging="425"/>
        <w:contextualSpacing w:val="0"/>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conformity assessment activities with a potential to pose risks; </w:t>
      </w:r>
    </w:p>
    <w:p w14:paraId="462FDB43" w14:textId="77777777" w:rsidR="00DE678A" w:rsidRPr="00DE678A" w:rsidRDefault="00DE678A" w:rsidP="00DE678A">
      <w:pPr>
        <w:pStyle w:val="ListParagraph"/>
        <w:numPr>
          <w:ilvl w:val="0"/>
          <w:numId w:val="28"/>
        </w:numPr>
        <w:spacing w:before="120" w:after="0" w:line="240" w:lineRule="auto"/>
        <w:ind w:left="425" w:hanging="425"/>
        <w:contextualSpacing w:val="0"/>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relationship between standard and non-standard testing/calibration methods (e.g. user’s specifications, in-house methods developed by the CAB for testing/calibration) or inspection methods;</w:t>
      </w:r>
    </w:p>
    <w:p w14:paraId="34FB779A" w14:textId="77777777" w:rsidR="00DE678A" w:rsidRPr="00DE678A" w:rsidRDefault="00DE678A" w:rsidP="00DE678A">
      <w:pPr>
        <w:pStyle w:val="ListParagraph"/>
        <w:numPr>
          <w:ilvl w:val="0"/>
          <w:numId w:val="28"/>
        </w:numPr>
        <w:spacing w:before="120" w:after="0" w:line="240" w:lineRule="auto"/>
        <w:ind w:left="425" w:hanging="425"/>
        <w:contextualSpacing w:val="0"/>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relationship between observation of performing conformity assessment activities and checking of reports/certificates and validation of records, records on quality control and/or inspection of testing equipment; </w:t>
      </w:r>
    </w:p>
    <w:p w14:paraId="2E2815C1" w14:textId="77777777" w:rsidR="00DE678A" w:rsidRPr="00DE678A" w:rsidRDefault="00DE678A" w:rsidP="00DE678A">
      <w:pPr>
        <w:pStyle w:val="ListParagraph"/>
        <w:numPr>
          <w:ilvl w:val="0"/>
          <w:numId w:val="28"/>
        </w:numPr>
        <w:spacing w:before="120" w:after="0" w:line="240" w:lineRule="auto"/>
        <w:ind w:left="425" w:hanging="425"/>
        <w:contextualSpacing w:val="0"/>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frequency of conformity assessment activities being performed; </w:t>
      </w:r>
    </w:p>
    <w:p w14:paraId="52D7598A" w14:textId="77777777" w:rsidR="00DE678A" w:rsidRPr="00DE678A" w:rsidRDefault="00DE678A" w:rsidP="00DE678A">
      <w:pPr>
        <w:pStyle w:val="ListParagraph"/>
        <w:numPr>
          <w:ilvl w:val="0"/>
          <w:numId w:val="28"/>
        </w:numPr>
        <w:spacing w:before="120" w:after="0" w:line="240" w:lineRule="auto"/>
        <w:ind w:left="425" w:hanging="425"/>
        <w:contextualSpacing w:val="0"/>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complaints lodged against the work of CABs for specific conformity assessment activities.</w:t>
      </w:r>
    </w:p>
    <w:p w14:paraId="2A92E777" w14:textId="77777777" w:rsidR="00DE678A" w:rsidRPr="00DE678A" w:rsidRDefault="00DE678A" w:rsidP="00DE678A">
      <w:pPr>
        <w:pStyle w:val="ListParagraph"/>
        <w:spacing w:before="120" w:after="0" w:line="240" w:lineRule="auto"/>
        <w:ind w:left="425"/>
        <w:jc w:val="both"/>
        <w:rPr>
          <w:rFonts w:ascii="Times New Roman" w:eastAsia="Calibri" w:hAnsi="Times New Roman" w:cs="Times New Roman"/>
          <w:color w:val="000000" w:themeColor="text1"/>
          <w:sz w:val="24"/>
          <w:szCs w:val="24"/>
          <w:lang w:val="en-GB"/>
        </w:rPr>
      </w:pPr>
    </w:p>
    <w:p w14:paraId="60C67C06"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If testing</w:t>
      </w:r>
      <w:r w:rsidR="000C2300">
        <w:rPr>
          <w:rFonts w:ascii="Times New Roman" w:eastAsia="Calibri" w:hAnsi="Times New Roman" w:cs="Times New Roman"/>
          <w:color w:val="000000" w:themeColor="text1"/>
          <w:sz w:val="24"/>
          <w:szCs w:val="24"/>
          <w:lang w:val="en-GB"/>
        </w:rPr>
        <w:t>, calibration</w:t>
      </w:r>
      <w:r w:rsidRPr="00DE678A">
        <w:rPr>
          <w:rFonts w:ascii="Times New Roman" w:eastAsia="Calibri" w:hAnsi="Times New Roman" w:cs="Times New Roman"/>
          <w:color w:val="000000" w:themeColor="text1"/>
          <w:sz w:val="24"/>
          <w:szCs w:val="24"/>
          <w:lang w:val="en-GB"/>
        </w:rPr>
        <w:t xml:space="preserve"> or inspection in the requested/granted scope of accreditation are performed at several locations, all the locations where key activities (e.g. policy formulation, development of the methods and/or procedures, review of the contract, planning of conformity assessment activity, conducting the conformity assessment activity, review and approval of conformity assessment results and decision-making on the results of the conformity assessment), are performed shall be assessed during the initial accreditation. In the accreditation cycle, all the locations, belonging to testing</w:t>
      </w:r>
      <w:r w:rsidR="000C2300">
        <w:rPr>
          <w:rFonts w:ascii="Times New Roman" w:eastAsia="Calibri" w:hAnsi="Times New Roman" w:cs="Times New Roman"/>
          <w:color w:val="000000" w:themeColor="text1"/>
          <w:sz w:val="24"/>
          <w:szCs w:val="24"/>
          <w:lang w:val="en-GB"/>
        </w:rPr>
        <w:t>, calibration</w:t>
      </w:r>
      <w:r w:rsidRPr="00DE678A">
        <w:rPr>
          <w:rFonts w:ascii="Times New Roman" w:eastAsia="Calibri" w:hAnsi="Times New Roman" w:cs="Times New Roman"/>
          <w:color w:val="000000" w:themeColor="text1"/>
          <w:sz w:val="24"/>
          <w:szCs w:val="24"/>
          <w:lang w:val="en-GB"/>
        </w:rPr>
        <w:t xml:space="preserve"> or inspection where key activities are performed, shall be assessed at least once again. Selection of locations to be assessed depends on the results of the previous assessment.    </w:t>
      </w:r>
    </w:p>
    <w:p w14:paraId="3990CA12"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02A4F0DB"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In addition to the number of assessment days the members of the assessment team are reimbursed for the pre- and post-assessment activities, such as:</w:t>
      </w:r>
    </w:p>
    <w:p w14:paraId="0CB8ACA5" w14:textId="77777777" w:rsidR="00DE678A" w:rsidRPr="00DE678A" w:rsidRDefault="00DE678A" w:rsidP="00DE678A">
      <w:pPr>
        <w:pStyle w:val="ListParagraph"/>
        <w:numPr>
          <w:ilvl w:val="0"/>
          <w:numId w:val="29"/>
        </w:numPr>
        <w:spacing w:before="120" w:after="0" w:line="240" w:lineRule="auto"/>
        <w:ind w:left="425" w:hanging="425"/>
        <w:jc w:val="both"/>
        <w:rPr>
          <w:rFonts w:ascii="Times New Roman" w:hAnsi="Times New Roman" w:cs="Times New Roman"/>
          <w:sz w:val="24"/>
          <w:szCs w:val="24"/>
          <w:lang w:val="en-GB"/>
        </w:rPr>
      </w:pPr>
      <w:r w:rsidRPr="00DE678A">
        <w:rPr>
          <w:rFonts w:ascii="Times New Roman" w:hAnsi="Times New Roman" w:cs="Times New Roman"/>
          <w:sz w:val="24"/>
          <w:szCs w:val="24"/>
          <w:u w:val="single"/>
          <w:lang w:val="en-GB"/>
        </w:rPr>
        <w:t>pre-assessment activities</w:t>
      </w:r>
      <w:r w:rsidRPr="00DE678A">
        <w:rPr>
          <w:rFonts w:ascii="Times New Roman" w:hAnsi="Times New Roman" w:cs="Times New Roman"/>
          <w:sz w:val="24"/>
          <w:szCs w:val="24"/>
          <w:lang w:val="en-GB"/>
        </w:rPr>
        <w:t>: preparation for assessment, including reviewing the applicant’s documentation and preparation of the assessment plan</w:t>
      </w:r>
    </w:p>
    <w:p w14:paraId="23C3FA6E" w14:textId="77777777" w:rsidR="00DE678A" w:rsidRPr="00DE678A" w:rsidRDefault="00DE678A" w:rsidP="00DE678A">
      <w:pPr>
        <w:pStyle w:val="ListParagraph"/>
        <w:numPr>
          <w:ilvl w:val="0"/>
          <w:numId w:val="29"/>
        </w:numPr>
        <w:spacing w:before="120" w:after="0" w:line="240" w:lineRule="auto"/>
        <w:ind w:left="425" w:hanging="425"/>
        <w:contextualSpacing w:val="0"/>
        <w:jc w:val="both"/>
        <w:rPr>
          <w:rFonts w:ascii="Times New Roman" w:hAnsi="Times New Roman" w:cs="Times New Roman"/>
          <w:sz w:val="24"/>
          <w:szCs w:val="24"/>
          <w:lang w:val="en-GB"/>
        </w:rPr>
      </w:pPr>
      <w:r w:rsidRPr="00DE678A">
        <w:rPr>
          <w:rFonts w:ascii="Times New Roman" w:hAnsi="Times New Roman" w:cs="Times New Roman"/>
          <w:sz w:val="24"/>
          <w:szCs w:val="24"/>
          <w:u w:val="single"/>
          <w:lang w:val="en-GB"/>
        </w:rPr>
        <w:lastRenderedPageBreak/>
        <w:t>post-assessment activities</w:t>
      </w:r>
      <w:r w:rsidRPr="00DE678A">
        <w:rPr>
          <w:rFonts w:ascii="Times New Roman" w:hAnsi="Times New Roman" w:cs="Times New Roman"/>
          <w:sz w:val="24"/>
          <w:szCs w:val="24"/>
          <w:lang w:val="en-GB"/>
        </w:rPr>
        <w:t>: reporting on the assessment results, updating of the assessment program, evaluation of the applicant’s corrective actions, compiling documentation for decision-making.</w:t>
      </w:r>
    </w:p>
    <w:p w14:paraId="306B192E"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17B1D264" w14:textId="2531E0DC"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The number of assessment days takes into consideration the number of assessment days of all members of the assessment team, i.e. the </w:t>
      </w:r>
      <w:r w:rsidR="000C2300">
        <w:rPr>
          <w:rFonts w:ascii="Times New Roman" w:eastAsia="Calibri" w:hAnsi="Times New Roman" w:cs="Times New Roman"/>
          <w:color w:val="000000" w:themeColor="text1"/>
          <w:sz w:val="24"/>
          <w:szCs w:val="24"/>
          <w:lang w:val="en-GB"/>
        </w:rPr>
        <w:t>lead assessor (</w:t>
      </w:r>
      <w:r w:rsidRPr="00DE678A">
        <w:rPr>
          <w:rFonts w:ascii="Times New Roman" w:eastAsia="Calibri" w:hAnsi="Times New Roman" w:cs="Times New Roman"/>
          <w:color w:val="000000" w:themeColor="text1"/>
          <w:sz w:val="24"/>
          <w:szCs w:val="24"/>
          <w:lang w:val="en-GB"/>
        </w:rPr>
        <w:t>team leader</w:t>
      </w:r>
      <w:r w:rsidR="000C2300">
        <w:rPr>
          <w:rFonts w:ascii="Times New Roman" w:eastAsia="Calibri" w:hAnsi="Times New Roman" w:cs="Times New Roman"/>
          <w:color w:val="000000" w:themeColor="text1"/>
          <w:sz w:val="24"/>
          <w:szCs w:val="24"/>
          <w:lang w:val="en-GB"/>
        </w:rPr>
        <w:t>)</w:t>
      </w:r>
      <w:r w:rsidRPr="00DE678A">
        <w:rPr>
          <w:rFonts w:ascii="Times New Roman" w:eastAsia="Calibri" w:hAnsi="Times New Roman" w:cs="Times New Roman"/>
          <w:color w:val="000000" w:themeColor="text1"/>
          <w:sz w:val="24"/>
          <w:szCs w:val="24"/>
          <w:lang w:val="en-GB"/>
        </w:rPr>
        <w:t xml:space="preserve">, technical assessor(s), assessor(s) and technical expert(s) appointed to the assessment team. The technical experts appointed in the assessment team </w:t>
      </w:r>
      <w:r w:rsidR="000C2300">
        <w:rPr>
          <w:rFonts w:ascii="Times New Roman" w:eastAsia="Calibri" w:hAnsi="Times New Roman" w:cs="Times New Roman"/>
          <w:color w:val="000000" w:themeColor="text1"/>
          <w:sz w:val="24"/>
          <w:szCs w:val="24"/>
          <w:lang w:val="en-GB"/>
        </w:rPr>
        <w:t>can</w:t>
      </w:r>
      <w:r w:rsidRPr="00DE678A">
        <w:rPr>
          <w:rFonts w:ascii="Times New Roman" w:eastAsia="Calibri" w:hAnsi="Times New Roman" w:cs="Times New Roman"/>
          <w:color w:val="000000" w:themeColor="text1"/>
          <w:sz w:val="24"/>
          <w:szCs w:val="24"/>
          <w:lang w:val="en-GB"/>
        </w:rPr>
        <w:t xml:space="preserve"> </w:t>
      </w:r>
      <w:r w:rsidR="000C2300">
        <w:rPr>
          <w:rFonts w:ascii="Times New Roman" w:eastAsia="Calibri" w:hAnsi="Times New Roman" w:cs="Times New Roman"/>
          <w:color w:val="000000" w:themeColor="text1"/>
          <w:sz w:val="24"/>
          <w:szCs w:val="24"/>
          <w:lang w:val="en-GB"/>
        </w:rPr>
        <w:t>work only under</w:t>
      </w:r>
      <w:r w:rsidR="000C2300" w:rsidRPr="00DE678A">
        <w:rPr>
          <w:rFonts w:ascii="Times New Roman" w:eastAsia="Calibri" w:hAnsi="Times New Roman" w:cs="Times New Roman"/>
          <w:color w:val="000000" w:themeColor="text1"/>
          <w:sz w:val="24"/>
          <w:szCs w:val="24"/>
          <w:lang w:val="en-GB"/>
        </w:rPr>
        <w:t xml:space="preserve"> </w:t>
      </w:r>
      <w:r w:rsidRPr="00DE678A">
        <w:rPr>
          <w:rFonts w:ascii="Times New Roman" w:eastAsia="Calibri" w:hAnsi="Times New Roman" w:cs="Times New Roman"/>
          <w:color w:val="000000" w:themeColor="text1"/>
          <w:sz w:val="24"/>
          <w:szCs w:val="24"/>
          <w:lang w:val="en-GB"/>
        </w:rPr>
        <w:t>supervis</w:t>
      </w:r>
      <w:r w:rsidR="000C2300">
        <w:rPr>
          <w:rFonts w:ascii="Times New Roman" w:eastAsia="Calibri" w:hAnsi="Times New Roman" w:cs="Times New Roman"/>
          <w:color w:val="000000" w:themeColor="text1"/>
          <w:sz w:val="24"/>
          <w:szCs w:val="24"/>
          <w:lang w:val="en-GB"/>
        </w:rPr>
        <w:t>ion</w:t>
      </w:r>
      <w:r w:rsidRPr="00DE678A">
        <w:rPr>
          <w:rFonts w:ascii="Times New Roman" w:eastAsia="Calibri" w:hAnsi="Times New Roman" w:cs="Times New Roman"/>
          <w:color w:val="000000" w:themeColor="text1"/>
          <w:sz w:val="24"/>
          <w:szCs w:val="24"/>
          <w:lang w:val="en-GB"/>
        </w:rPr>
        <w:t xml:space="preserve"> during the assessment, and therefore, for this </w:t>
      </w:r>
      <w:r w:rsidR="000C2300">
        <w:rPr>
          <w:rFonts w:ascii="Times New Roman" w:eastAsia="Calibri" w:hAnsi="Times New Roman" w:cs="Times New Roman"/>
          <w:color w:val="000000" w:themeColor="text1"/>
          <w:sz w:val="24"/>
          <w:szCs w:val="24"/>
          <w:lang w:val="en-GB"/>
        </w:rPr>
        <w:t>activity</w:t>
      </w:r>
      <w:r w:rsidR="000C2300" w:rsidRPr="00DE678A">
        <w:rPr>
          <w:rFonts w:ascii="Times New Roman" w:eastAsia="Calibri" w:hAnsi="Times New Roman" w:cs="Times New Roman"/>
          <w:color w:val="000000" w:themeColor="text1"/>
          <w:sz w:val="24"/>
          <w:szCs w:val="24"/>
          <w:lang w:val="en-GB"/>
        </w:rPr>
        <w:t xml:space="preserve"> </w:t>
      </w:r>
      <w:r w:rsidRPr="00DE678A">
        <w:rPr>
          <w:rFonts w:ascii="Times New Roman" w:eastAsia="Calibri" w:hAnsi="Times New Roman" w:cs="Times New Roman"/>
          <w:color w:val="000000" w:themeColor="text1"/>
          <w:sz w:val="24"/>
          <w:szCs w:val="24"/>
          <w:lang w:val="en-GB"/>
        </w:rPr>
        <w:t xml:space="preserve">DAK additionally appoints assessor(s) into the assessment team. </w:t>
      </w:r>
      <w:r w:rsidRPr="00DE678A">
        <w:rPr>
          <w:rFonts w:ascii="Times New Roman" w:eastAsia="Calibri" w:hAnsi="Times New Roman" w:cs="Times New Roman"/>
          <w:color w:val="000000" w:themeColor="text1"/>
          <w:sz w:val="24"/>
          <w:szCs w:val="24"/>
          <w:u w:val="single"/>
          <w:lang w:val="en-GB"/>
        </w:rPr>
        <w:t>The assessment days of the supervising assessor(s) are additional to the number of assessment days determined below</w:t>
      </w:r>
      <w:r w:rsidRPr="00DE678A">
        <w:rPr>
          <w:rFonts w:ascii="Times New Roman" w:eastAsia="Calibri" w:hAnsi="Times New Roman" w:cs="Times New Roman"/>
          <w:color w:val="000000" w:themeColor="text1"/>
          <w:sz w:val="24"/>
          <w:szCs w:val="24"/>
          <w:lang w:val="en-GB"/>
        </w:rPr>
        <w:t>.</w:t>
      </w:r>
    </w:p>
    <w:p w14:paraId="1BE10BE7"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23925647"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The Administrative Instruction (MTI) No. 03/2018 setting up accreditation tariffs regulates the hourly assessment fee. DAK usually calculates that </w:t>
      </w:r>
    </w:p>
    <w:p w14:paraId="4004AA36" w14:textId="77777777" w:rsidR="00DE678A" w:rsidRPr="00DE678A" w:rsidRDefault="00DE678A" w:rsidP="00A643F7">
      <w:pPr>
        <w:spacing w:before="120" w:after="0" w:line="240" w:lineRule="auto"/>
        <w:jc w:val="center"/>
        <w:rPr>
          <w:rFonts w:ascii="Times New Roman" w:eastAsia="Calibri" w:hAnsi="Times New Roman" w:cs="Times New Roman"/>
          <w:b/>
          <w:bCs/>
          <w:color w:val="000000" w:themeColor="text1"/>
          <w:sz w:val="24"/>
          <w:szCs w:val="24"/>
          <w:lang w:val="en-GB"/>
        </w:rPr>
      </w:pPr>
      <w:r w:rsidRPr="00DE678A">
        <w:rPr>
          <w:rFonts w:ascii="Times New Roman" w:eastAsia="Calibri" w:hAnsi="Times New Roman" w:cs="Times New Roman"/>
          <w:b/>
          <w:bCs/>
          <w:color w:val="000000" w:themeColor="text1"/>
          <w:sz w:val="24"/>
          <w:szCs w:val="24"/>
          <w:lang w:val="en-GB"/>
        </w:rPr>
        <w:t>1 assessment day is equal to 6 hours.</w:t>
      </w:r>
    </w:p>
    <w:p w14:paraId="0E02B598"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18FD4D75"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r w:rsidRPr="00DE678A">
        <w:rPr>
          <w:rFonts w:ascii="Times New Roman" w:eastAsia="Calibri" w:hAnsi="Times New Roman" w:cs="Times New Roman"/>
          <w:color w:val="000000" w:themeColor="text1"/>
          <w:sz w:val="24"/>
          <w:szCs w:val="24"/>
          <w:lang w:val="en-GB"/>
        </w:rPr>
        <w:t xml:space="preserve">This DAK practise is taken into consideration for the determination of the assessment days below. </w:t>
      </w:r>
    </w:p>
    <w:p w14:paraId="48912EAF" w14:textId="77777777" w:rsidR="00DE678A" w:rsidRPr="00DE678A" w:rsidRDefault="00DE678A" w:rsidP="00DE678A">
      <w:pPr>
        <w:spacing w:after="0" w:line="240" w:lineRule="auto"/>
        <w:jc w:val="both"/>
        <w:rPr>
          <w:rFonts w:ascii="Times New Roman" w:eastAsia="Calibri" w:hAnsi="Times New Roman" w:cs="Times New Roman"/>
          <w:color w:val="000000" w:themeColor="text1"/>
          <w:sz w:val="24"/>
          <w:szCs w:val="24"/>
          <w:lang w:val="en-GB"/>
        </w:rPr>
      </w:pPr>
    </w:p>
    <w:p w14:paraId="04B8DDB9" w14:textId="77777777" w:rsidR="000C2300" w:rsidRPr="00DE678A" w:rsidRDefault="000C2300" w:rsidP="00DE678A">
      <w:pPr>
        <w:spacing w:after="0" w:line="240" w:lineRule="auto"/>
        <w:jc w:val="both"/>
        <w:rPr>
          <w:rFonts w:ascii="Times New Roman" w:eastAsia="Calibri" w:hAnsi="Times New Roman" w:cs="Times New Roman"/>
          <w:color w:val="000000" w:themeColor="text1"/>
          <w:sz w:val="24"/>
          <w:szCs w:val="24"/>
          <w:lang w:val="en-GB"/>
        </w:rPr>
      </w:pPr>
    </w:p>
    <w:p w14:paraId="431EB622" w14:textId="5E5B8121" w:rsidR="00DE678A" w:rsidRPr="00F915CB" w:rsidRDefault="0038743A" w:rsidP="00F915CB">
      <w:pPr>
        <w:pStyle w:val="Heading2"/>
        <w:rPr>
          <w:rFonts w:ascii="Times New Roman" w:eastAsia="Calibri" w:hAnsi="Times New Roman" w:cs="Times New Roman"/>
          <w:b/>
          <w:color w:val="auto"/>
          <w:sz w:val="24"/>
          <w:szCs w:val="24"/>
          <w:lang w:val="en-GB"/>
        </w:rPr>
      </w:pPr>
      <w:bookmarkStart w:id="16" w:name="_Toc24978110"/>
      <w:r w:rsidRPr="00F915CB">
        <w:rPr>
          <w:rFonts w:ascii="Times New Roman" w:eastAsia="Calibri" w:hAnsi="Times New Roman" w:cs="Times New Roman"/>
          <w:b/>
          <w:color w:val="auto"/>
          <w:sz w:val="24"/>
          <w:szCs w:val="24"/>
          <w:lang w:val="en-GB"/>
        </w:rPr>
        <w:t>5.</w:t>
      </w:r>
      <w:r w:rsidR="00D33053" w:rsidRPr="00F915CB">
        <w:rPr>
          <w:rFonts w:ascii="Times New Roman" w:eastAsia="Calibri" w:hAnsi="Times New Roman" w:cs="Times New Roman"/>
          <w:b/>
          <w:color w:val="auto"/>
          <w:sz w:val="24"/>
          <w:szCs w:val="24"/>
          <w:lang w:val="en-GB"/>
        </w:rPr>
        <w:t>2</w:t>
      </w:r>
      <w:r w:rsidR="008A31AA">
        <w:rPr>
          <w:rFonts w:ascii="Times New Roman" w:eastAsia="Calibri" w:hAnsi="Times New Roman" w:cs="Times New Roman"/>
          <w:b/>
          <w:color w:val="auto"/>
          <w:sz w:val="24"/>
          <w:szCs w:val="24"/>
          <w:lang w:val="en-GB"/>
        </w:rPr>
        <w:t xml:space="preserve"> </w:t>
      </w:r>
      <w:r w:rsidR="00DE678A" w:rsidRPr="00F915CB">
        <w:rPr>
          <w:rFonts w:ascii="Times New Roman" w:eastAsia="Calibri" w:hAnsi="Times New Roman" w:cs="Times New Roman"/>
          <w:b/>
          <w:color w:val="auto"/>
          <w:sz w:val="24"/>
          <w:szCs w:val="24"/>
          <w:lang w:val="en-GB"/>
        </w:rPr>
        <w:t>Number of assessment days for laboratories</w:t>
      </w:r>
      <w:bookmarkEnd w:id="16"/>
    </w:p>
    <w:p w14:paraId="0C3E0B79" w14:textId="77777777" w:rsidR="00DE678A" w:rsidRPr="00A643F7" w:rsidRDefault="00DE678A" w:rsidP="00DE678A">
      <w:pPr>
        <w:tabs>
          <w:tab w:val="left" w:pos="426"/>
        </w:tabs>
        <w:spacing w:after="0" w:line="240" w:lineRule="auto"/>
        <w:jc w:val="both"/>
        <w:rPr>
          <w:rFonts w:ascii="Times New Roman" w:eastAsia="Calibri" w:hAnsi="Times New Roman" w:cs="Times New Roman"/>
          <w:b/>
          <w:color w:val="000000" w:themeColor="text1"/>
          <w:sz w:val="24"/>
          <w:szCs w:val="24"/>
          <w:lang w:val="en-GB"/>
        </w:rPr>
      </w:pPr>
    </w:p>
    <w:p w14:paraId="434AE19F" w14:textId="6804986D"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Number of assessment days of testing </w:t>
      </w:r>
      <w:r w:rsidR="000C2300">
        <w:rPr>
          <w:rFonts w:ascii="Times New Roman" w:eastAsia="Calibri" w:hAnsi="Times New Roman" w:cs="Times New Roman"/>
          <w:bCs/>
          <w:color w:val="000000" w:themeColor="text1"/>
          <w:sz w:val="24"/>
          <w:szCs w:val="24"/>
          <w:lang w:val="en-GB"/>
        </w:rPr>
        <w:t xml:space="preserve">and calibration </w:t>
      </w:r>
      <w:r w:rsidRPr="00DE678A">
        <w:rPr>
          <w:rFonts w:ascii="Times New Roman" w:eastAsia="Calibri" w:hAnsi="Times New Roman" w:cs="Times New Roman"/>
          <w:bCs/>
          <w:color w:val="000000" w:themeColor="text1"/>
          <w:sz w:val="24"/>
          <w:szCs w:val="24"/>
          <w:lang w:val="en-GB"/>
        </w:rPr>
        <w:t>laboratories are calculated based on the number of test</w:t>
      </w:r>
      <w:r w:rsidR="000C2300">
        <w:rPr>
          <w:rFonts w:ascii="Times New Roman" w:eastAsia="Calibri" w:hAnsi="Times New Roman" w:cs="Times New Roman"/>
          <w:bCs/>
          <w:color w:val="000000" w:themeColor="text1"/>
          <w:sz w:val="24"/>
          <w:szCs w:val="24"/>
          <w:lang w:val="en-GB"/>
        </w:rPr>
        <w:t>/calibration</w:t>
      </w:r>
      <w:r w:rsidRPr="00DE678A">
        <w:rPr>
          <w:rFonts w:ascii="Times New Roman" w:eastAsia="Calibri" w:hAnsi="Times New Roman" w:cs="Times New Roman"/>
          <w:bCs/>
          <w:color w:val="000000" w:themeColor="text1"/>
          <w:sz w:val="24"/>
          <w:szCs w:val="24"/>
          <w:lang w:val="en-GB"/>
        </w:rPr>
        <w:t xml:space="preserve"> methods/techniques and the number of technical areas/sub-areas defined in PO-03-Annex 1 </w:t>
      </w:r>
      <w:r w:rsidR="003034C0">
        <w:rPr>
          <w:rFonts w:ascii="Times New Roman" w:eastAsia="Calibri" w:hAnsi="Times New Roman" w:cs="Times New Roman"/>
          <w:bCs/>
          <w:color w:val="000000" w:themeColor="text1"/>
          <w:sz w:val="24"/>
          <w:szCs w:val="24"/>
          <w:lang w:val="en-GB"/>
        </w:rPr>
        <w:t>Accreditation activity and criteria</w:t>
      </w:r>
      <w:r w:rsidRPr="00DE678A">
        <w:rPr>
          <w:rFonts w:ascii="Times New Roman" w:eastAsia="Calibri" w:hAnsi="Times New Roman" w:cs="Times New Roman"/>
          <w:bCs/>
          <w:color w:val="000000" w:themeColor="text1"/>
          <w:sz w:val="24"/>
          <w:szCs w:val="24"/>
          <w:lang w:val="en-GB"/>
        </w:rPr>
        <w:t xml:space="preserve">.  Tables 2a and 2b </w:t>
      </w:r>
      <w:r w:rsidR="000C2300">
        <w:rPr>
          <w:rFonts w:ascii="Times New Roman" w:eastAsia="Calibri" w:hAnsi="Times New Roman" w:cs="Times New Roman"/>
          <w:bCs/>
          <w:color w:val="000000" w:themeColor="text1"/>
          <w:sz w:val="24"/>
          <w:szCs w:val="24"/>
          <w:lang w:val="en-GB"/>
        </w:rPr>
        <w:t xml:space="preserve">below </w:t>
      </w:r>
      <w:r w:rsidRPr="00DE678A">
        <w:rPr>
          <w:rFonts w:ascii="Times New Roman" w:eastAsia="Calibri" w:hAnsi="Times New Roman" w:cs="Times New Roman"/>
          <w:bCs/>
          <w:color w:val="000000" w:themeColor="text1"/>
          <w:sz w:val="24"/>
          <w:szCs w:val="24"/>
          <w:lang w:val="en-GB"/>
        </w:rPr>
        <w:t xml:space="preserve">provide the necessary number of assessment days for initial accreditation, extension of scope of accreditation and for surveillance assessment. </w:t>
      </w:r>
    </w:p>
    <w:p w14:paraId="2ABE613D"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4A517C8"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When the extension of scope of accreditation is performed during the surveillance assessment, minimum 50% of the assessment days calculated according to table 2a for the extension of scope of accreditation are added to the number of assessment days for surveillance. For example, when the testing</w:t>
      </w:r>
      <w:r w:rsidR="000C2300">
        <w:rPr>
          <w:rFonts w:ascii="Times New Roman" w:eastAsia="Calibri" w:hAnsi="Times New Roman" w:cs="Times New Roman"/>
          <w:bCs/>
          <w:color w:val="000000" w:themeColor="text1"/>
          <w:sz w:val="24"/>
          <w:szCs w:val="24"/>
          <w:lang w:val="en-GB"/>
        </w:rPr>
        <w:t>/calibration</w:t>
      </w:r>
      <w:r w:rsidRPr="00DE678A">
        <w:rPr>
          <w:rFonts w:ascii="Times New Roman" w:eastAsia="Calibri" w:hAnsi="Times New Roman" w:cs="Times New Roman"/>
          <w:bCs/>
          <w:color w:val="000000" w:themeColor="text1"/>
          <w:sz w:val="24"/>
          <w:szCs w:val="24"/>
          <w:lang w:val="en-GB"/>
        </w:rPr>
        <w:t xml:space="preserve"> laboratory requests to extend its scope of accreditation to a new technical area with 10 test</w:t>
      </w:r>
      <w:r w:rsidR="000C2300">
        <w:rPr>
          <w:rFonts w:ascii="Times New Roman" w:eastAsia="Calibri" w:hAnsi="Times New Roman" w:cs="Times New Roman"/>
          <w:bCs/>
          <w:color w:val="000000" w:themeColor="text1"/>
          <w:sz w:val="24"/>
          <w:szCs w:val="24"/>
          <w:lang w:val="en-GB"/>
        </w:rPr>
        <w:t>/calibration</w:t>
      </w:r>
      <w:r w:rsidRPr="00DE678A">
        <w:rPr>
          <w:rFonts w:ascii="Times New Roman" w:eastAsia="Calibri" w:hAnsi="Times New Roman" w:cs="Times New Roman"/>
          <w:bCs/>
          <w:color w:val="000000" w:themeColor="text1"/>
          <w:sz w:val="24"/>
          <w:szCs w:val="24"/>
          <w:lang w:val="en-GB"/>
        </w:rPr>
        <w:t xml:space="preserve"> methods, 1 assessment day is added to the number of assessment days for surveillance assessment, plus the time spent on observation outside the laboratory, if applicable.</w:t>
      </w:r>
    </w:p>
    <w:p w14:paraId="2C8E3D75"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7D87743"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The number of assessment days for renewal of accreditation is usually 20% less than the number of assessment days for initial accreditation.</w:t>
      </w:r>
    </w:p>
    <w:p w14:paraId="7664234C"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7AAB1244" w14:textId="77777777" w:rsidR="00DE678A" w:rsidRPr="00DE678A" w:rsidRDefault="00DE678A" w:rsidP="00A643F7">
      <w:pPr>
        <w:spacing w:before="120" w:after="6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Table 2a – Number of assessment days for initial accreditation and extension of scope of accreditation</w:t>
      </w:r>
    </w:p>
    <w:tbl>
      <w:tblPr>
        <w:tblStyle w:val="TableGrid"/>
        <w:tblW w:w="0" w:type="auto"/>
        <w:tblLook w:val="04A0" w:firstRow="1" w:lastRow="0" w:firstColumn="1" w:lastColumn="0" w:noHBand="0" w:noVBand="1"/>
      </w:tblPr>
      <w:tblGrid>
        <w:gridCol w:w="2830"/>
        <w:gridCol w:w="1302"/>
        <w:gridCol w:w="1812"/>
        <w:gridCol w:w="1813"/>
        <w:gridCol w:w="1817"/>
      </w:tblGrid>
      <w:tr w:rsidR="00DE678A" w:rsidRPr="00DE678A" w14:paraId="3834D44F" w14:textId="77777777" w:rsidTr="00A643F7">
        <w:tc>
          <w:tcPr>
            <w:tcW w:w="2830" w:type="dxa"/>
            <w:tcBorders>
              <w:top w:val="single" w:sz="4" w:space="0" w:color="auto"/>
              <w:left w:val="single" w:sz="4" w:space="0" w:color="auto"/>
              <w:bottom w:val="single" w:sz="4" w:space="0" w:color="auto"/>
              <w:right w:val="single" w:sz="4" w:space="0" w:color="auto"/>
            </w:tcBorders>
          </w:tcPr>
          <w:p w14:paraId="0FE8BE0E" w14:textId="77777777" w:rsidR="00DE678A" w:rsidRPr="00DE678A" w:rsidRDefault="00DE678A">
            <w:pPr>
              <w:jc w:val="both"/>
              <w:rPr>
                <w:rFonts w:ascii="Times New Roman" w:eastAsia="Calibri" w:hAnsi="Times New Roman" w:cs="Times New Roman"/>
                <w:b/>
                <w:color w:val="000000" w:themeColor="text1"/>
                <w:sz w:val="24"/>
                <w:szCs w:val="24"/>
                <w:lang w:val="en-GB"/>
              </w:rPr>
            </w:pPr>
          </w:p>
        </w:tc>
        <w:tc>
          <w:tcPr>
            <w:tcW w:w="67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FE298"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test</w:t>
            </w:r>
            <w:r w:rsidR="000C2300">
              <w:rPr>
                <w:rFonts w:ascii="Times New Roman" w:eastAsia="Calibri" w:hAnsi="Times New Roman" w:cs="Times New Roman"/>
                <w:b/>
                <w:color w:val="000000" w:themeColor="text1"/>
                <w:sz w:val="24"/>
                <w:szCs w:val="24"/>
                <w:lang w:val="en-GB"/>
              </w:rPr>
              <w:t>/calibration</w:t>
            </w:r>
            <w:r w:rsidRPr="00DE678A">
              <w:rPr>
                <w:rFonts w:ascii="Times New Roman" w:eastAsia="Calibri" w:hAnsi="Times New Roman" w:cs="Times New Roman"/>
                <w:b/>
                <w:color w:val="000000" w:themeColor="text1"/>
                <w:sz w:val="24"/>
                <w:szCs w:val="24"/>
                <w:lang w:val="en-GB"/>
              </w:rPr>
              <w:t xml:space="preserve"> methods</w:t>
            </w:r>
          </w:p>
        </w:tc>
      </w:tr>
      <w:tr w:rsidR="00DE678A" w:rsidRPr="00DE678A" w14:paraId="1857DAA8" w14:textId="77777777" w:rsidTr="00A643F7">
        <w:tc>
          <w:tcPr>
            <w:tcW w:w="28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C1B489" w14:textId="77777777" w:rsidR="00DE678A" w:rsidRPr="00DE678A" w:rsidRDefault="00DE678A">
            <w:pP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technical areas/sub-areas</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7E3CD" w14:textId="77777777" w:rsidR="00DE678A" w:rsidRPr="00DE678A" w:rsidRDefault="00DE678A">
            <w:pPr>
              <w:jc w:val="both"/>
              <w:rPr>
                <w:rFonts w:ascii="Times New Roman" w:eastAsia="Calibri" w:hAnsi="Times New Roman" w:cs="Times New Roman"/>
                <w:b/>
                <w:color w:val="000000" w:themeColor="text1"/>
                <w:sz w:val="24"/>
                <w:szCs w:val="24"/>
                <w:lang w:val="en-GB"/>
              </w:rPr>
            </w:pP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B2F39"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1-25</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F925F"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26-50</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5F193B"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Calibri" w:eastAsia="Calibri" w:hAnsi="Calibri" w:cs="Calibri"/>
                <w:b/>
                <w:color w:val="000000" w:themeColor="text1"/>
                <w:sz w:val="24"/>
                <w:szCs w:val="24"/>
                <w:lang w:val="en-GB"/>
              </w:rPr>
              <w:t>&gt;</w:t>
            </w:r>
            <w:r w:rsidRPr="00DE678A">
              <w:rPr>
                <w:rFonts w:ascii="Times New Roman" w:eastAsia="Calibri" w:hAnsi="Times New Roman" w:cs="Times New Roman"/>
                <w:b/>
                <w:color w:val="000000" w:themeColor="text1"/>
                <w:sz w:val="24"/>
                <w:szCs w:val="24"/>
                <w:lang w:val="en-GB"/>
              </w:rPr>
              <w:t>50</w:t>
            </w:r>
          </w:p>
        </w:tc>
      </w:tr>
      <w:tr w:rsidR="00DE678A" w:rsidRPr="00DE678A" w14:paraId="7134BF4B"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7D6C19EC"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B6A19"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1</w:t>
            </w:r>
          </w:p>
        </w:tc>
        <w:tc>
          <w:tcPr>
            <w:tcW w:w="1812" w:type="dxa"/>
            <w:tcBorders>
              <w:top w:val="single" w:sz="4" w:space="0" w:color="auto"/>
              <w:left w:val="single" w:sz="4" w:space="0" w:color="auto"/>
              <w:bottom w:val="single" w:sz="4" w:space="0" w:color="auto"/>
              <w:right w:val="single" w:sz="4" w:space="0" w:color="auto"/>
            </w:tcBorders>
            <w:hideMark/>
          </w:tcPr>
          <w:p w14:paraId="17920233"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w:t>
            </w:r>
          </w:p>
        </w:tc>
        <w:tc>
          <w:tcPr>
            <w:tcW w:w="1813" w:type="dxa"/>
            <w:tcBorders>
              <w:top w:val="single" w:sz="4" w:space="0" w:color="auto"/>
              <w:left w:val="single" w:sz="4" w:space="0" w:color="auto"/>
              <w:bottom w:val="single" w:sz="4" w:space="0" w:color="auto"/>
              <w:right w:val="single" w:sz="4" w:space="0" w:color="auto"/>
            </w:tcBorders>
            <w:hideMark/>
          </w:tcPr>
          <w:p w14:paraId="576B0C1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c>
          <w:tcPr>
            <w:tcW w:w="1817" w:type="dxa"/>
            <w:tcBorders>
              <w:top w:val="single" w:sz="4" w:space="0" w:color="auto"/>
              <w:left w:val="single" w:sz="4" w:space="0" w:color="auto"/>
              <w:bottom w:val="single" w:sz="4" w:space="0" w:color="auto"/>
              <w:right w:val="single" w:sz="4" w:space="0" w:color="auto"/>
            </w:tcBorders>
            <w:hideMark/>
          </w:tcPr>
          <w:p w14:paraId="40BB6C41"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3-4</w:t>
            </w:r>
          </w:p>
        </w:tc>
      </w:tr>
      <w:tr w:rsidR="00DE678A" w:rsidRPr="00DE678A" w14:paraId="22E0DC65"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0F9B9D9B"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9F270"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2-4</w:t>
            </w:r>
          </w:p>
        </w:tc>
        <w:tc>
          <w:tcPr>
            <w:tcW w:w="1812" w:type="dxa"/>
            <w:tcBorders>
              <w:top w:val="single" w:sz="4" w:space="0" w:color="auto"/>
              <w:left w:val="single" w:sz="4" w:space="0" w:color="auto"/>
              <w:bottom w:val="single" w:sz="4" w:space="0" w:color="auto"/>
              <w:right w:val="single" w:sz="4" w:space="0" w:color="auto"/>
            </w:tcBorders>
            <w:hideMark/>
          </w:tcPr>
          <w:p w14:paraId="12D69632"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c>
          <w:tcPr>
            <w:tcW w:w="1813" w:type="dxa"/>
            <w:tcBorders>
              <w:top w:val="single" w:sz="4" w:space="0" w:color="auto"/>
              <w:left w:val="single" w:sz="4" w:space="0" w:color="auto"/>
              <w:bottom w:val="single" w:sz="4" w:space="0" w:color="auto"/>
              <w:right w:val="single" w:sz="4" w:space="0" w:color="auto"/>
            </w:tcBorders>
            <w:hideMark/>
          </w:tcPr>
          <w:p w14:paraId="4D4CB808"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4-5</w:t>
            </w:r>
          </w:p>
        </w:tc>
        <w:tc>
          <w:tcPr>
            <w:tcW w:w="1817" w:type="dxa"/>
            <w:tcBorders>
              <w:top w:val="single" w:sz="4" w:space="0" w:color="auto"/>
              <w:left w:val="single" w:sz="4" w:space="0" w:color="auto"/>
              <w:bottom w:val="single" w:sz="4" w:space="0" w:color="auto"/>
              <w:right w:val="single" w:sz="4" w:space="0" w:color="auto"/>
            </w:tcBorders>
            <w:hideMark/>
          </w:tcPr>
          <w:p w14:paraId="133CE9C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5-6</w:t>
            </w:r>
          </w:p>
        </w:tc>
      </w:tr>
      <w:tr w:rsidR="00DE678A" w:rsidRPr="00DE678A" w14:paraId="542303CB"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2773E084"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8E8EB"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Calibri" w:eastAsia="Calibri" w:hAnsi="Calibri" w:cs="Calibri"/>
                <w:b/>
                <w:color w:val="000000" w:themeColor="text1"/>
                <w:sz w:val="24"/>
                <w:szCs w:val="24"/>
                <w:lang w:val="en-GB"/>
              </w:rPr>
              <w:t>&gt;</w:t>
            </w:r>
            <w:r w:rsidRPr="00DE678A">
              <w:rPr>
                <w:rFonts w:ascii="Times New Roman" w:eastAsia="Calibri" w:hAnsi="Times New Roman" w:cs="Times New Roman"/>
                <w:b/>
                <w:color w:val="000000" w:themeColor="text1"/>
                <w:sz w:val="24"/>
                <w:szCs w:val="24"/>
                <w:lang w:val="en-GB"/>
              </w:rPr>
              <w:t>4</w:t>
            </w:r>
          </w:p>
        </w:tc>
        <w:tc>
          <w:tcPr>
            <w:tcW w:w="1812" w:type="dxa"/>
            <w:tcBorders>
              <w:top w:val="single" w:sz="4" w:space="0" w:color="auto"/>
              <w:left w:val="single" w:sz="4" w:space="0" w:color="auto"/>
              <w:bottom w:val="single" w:sz="4" w:space="0" w:color="auto"/>
              <w:right w:val="single" w:sz="4" w:space="0" w:color="auto"/>
            </w:tcBorders>
            <w:hideMark/>
          </w:tcPr>
          <w:p w14:paraId="708C455A"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3-4</w:t>
            </w:r>
          </w:p>
        </w:tc>
        <w:tc>
          <w:tcPr>
            <w:tcW w:w="1813" w:type="dxa"/>
            <w:tcBorders>
              <w:top w:val="single" w:sz="4" w:space="0" w:color="auto"/>
              <w:left w:val="single" w:sz="4" w:space="0" w:color="auto"/>
              <w:bottom w:val="single" w:sz="4" w:space="0" w:color="auto"/>
              <w:right w:val="single" w:sz="4" w:space="0" w:color="auto"/>
            </w:tcBorders>
            <w:hideMark/>
          </w:tcPr>
          <w:p w14:paraId="504D808F"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5-6</w:t>
            </w:r>
          </w:p>
        </w:tc>
        <w:tc>
          <w:tcPr>
            <w:tcW w:w="1817" w:type="dxa"/>
            <w:tcBorders>
              <w:top w:val="single" w:sz="4" w:space="0" w:color="auto"/>
              <w:left w:val="single" w:sz="4" w:space="0" w:color="auto"/>
              <w:bottom w:val="single" w:sz="4" w:space="0" w:color="auto"/>
              <w:right w:val="single" w:sz="4" w:space="0" w:color="auto"/>
            </w:tcBorders>
            <w:hideMark/>
          </w:tcPr>
          <w:p w14:paraId="4849D952"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6-7</w:t>
            </w:r>
          </w:p>
        </w:tc>
      </w:tr>
    </w:tbl>
    <w:p w14:paraId="5E5556E4"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0AF341FF" w14:textId="77777777" w:rsidR="00DE678A" w:rsidRPr="00DE678A" w:rsidRDefault="00DE678A" w:rsidP="00DE678A">
      <w:pPr>
        <w:spacing w:after="12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Table 2b – Number of assessment days for surveillance assessment</w:t>
      </w:r>
    </w:p>
    <w:tbl>
      <w:tblPr>
        <w:tblStyle w:val="TableGrid"/>
        <w:tblW w:w="0" w:type="auto"/>
        <w:tblLook w:val="04A0" w:firstRow="1" w:lastRow="0" w:firstColumn="1" w:lastColumn="0" w:noHBand="0" w:noVBand="1"/>
      </w:tblPr>
      <w:tblGrid>
        <w:gridCol w:w="2830"/>
        <w:gridCol w:w="1302"/>
        <w:gridCol w:w="1812"/>
        <w:gridCol w:w="1813"/>
        <w:gridCol w:w="1817"/>
      </w:tblGrid>
      <w:tr w:rsidR="00DE678A" w:rsidRPr="00DE678A" w14:paraId="72454F1D" w14:textId="77777777" w:rsidTr="00A643F7">
        <w:tc>
          <w:tcPr>
            <w:tcW w:w="2830" w:type="dxa"/>
            <w:tcBorders>
              <w:top w:val="single" w:sz="4" w:space="0" w:color="auto"/>
              <w:left w:val="single" w:sz="4" w:space="0" w:color="auto"/>
              <w:bottom w:val="single" w:sz="4" w:space="0" w:color="auto"/>
              <w:right w:val="single" w:sz="4" w:space="0" w:color="auto"/>
            </w:tcBorders>
          </w:tcPr>
          <w:p w14:paraId="31378CF5" w14:textId="77777777" w:rsidR="00DE678A" w:rsidRPr="00DE678A" w:rsidRDefault="00DE678A">
            <w:pPr>
              <w:jc w:val="both"/>
              <w:rPr>
                <w:rFonts w:ascii="Times New Roman" w:eastAsia="Calibri" w:hAnsi="Times New Roman" w:cs="Times New Roman"/>
                <w:b/>
                <w:color w:val="000000" w:themeColor="text1"/>
                <w:sz w:val="24"/>
                <w:szCs w:val="24"/>
                <w:lang w:val="en-GB"/>
              </w:rPr>
            </w:pPr>
          </w:p>
        </w:tc>
        <w:tc>
          <w:tcPr>
            <w:tcW w:w="67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76B1F"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test</w:t>
            </w:r>
            <w:r w:rsidR="000C2300">
              <w:rPr>
                <w:rFonts w:ascii="Times New Roman" w:eastAsia="Calibri" w:hAnsi="Times New Roman" w:cs="Times New Roman"/>
                <w:b/>
                <w:color w:val="000000" w:themeColor="text1"/>
                <w:sz w:val="24"/>
                <w:szCs w:val="24"/>
                <w:lang w:val="en-GB"/>
              </w:rPr>
              <w:t>/calibration</w:t>
            </w:r>
            <w:r w:rsidRPr="00DE678A">
              <w:rPr>
                <w:rFonts w:ascii="Times New Roman" w:eastAsia="Calibri" w:hAnsi="Times New Roman" w:cs="Times New Roman"/>
                <w:b/>
                <w:color w:val="000000" w:themeColor="text1"/>
                <w:sz w:val="24"/>
                <w:szCs w:val="24"/>
                <w:lang w:val="en-GB"/>
              </w:rPr>
              <w:t xml:space="preserve"> methods</w:t>
            </w:r>
          </w:p>
        </w:tc>
      </w:tr>
      <w:tr w:rsidR="00DE678A" w:rsidRPr="00DE678A" w14:paraId="319EC881" w14:textId="77777777" w:rsidTr="00A643F7">
        <w:tc>
          <w:tcPr>
            <w:tcW w:w="28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8F6FB" w14:textId="77777777" w:rsidR="00DE678A" w:rsidRPr="00DE678A" w:rsidRDefault="00DE678A">
            <w:pP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technical areas/sub-areas</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E74E" w14:textId="77777777" w:rsidR="00DE678A" w:rsidRPr="00DE678A" w:rsidRDefault="00DE678A">
            <w:pPr>
              <w:jc w:val="both"/>
              <w:rPr>
                <w:rFonts w:ascii="Times New Roman" w:eastAsia="Calibri" w:hAnsi="Times New Roman" w:cs="Times New Roman"/>
                <w:b/>
                <w:color w:val="000000" w:themeColor="text1"/>
                <w:sz w:val="24"/>
                <w:szCs w:val="24"/>
                <w:lang w:val="en-GB"/>
              </w:rPr>
            </w:pP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1794B"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1-25</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729E8"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26-50</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F8645"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Calibri" w:eastAsia="Calibri" w:hAnsi="Calibri" w:cs="Calibri"/>
                <w:b/>
                <w:color w:val="000000" w:themeColor="text1"/>
                <w:sz w:val="24"/>
                <w:szCs w:val="24"/>
                <w:lang w:val="en-GB"/>
              </w:rPr>
              <w:t>&gt;</w:t>
            </w:r>
            <w:r w:rsidRPr="00DE678A">
              <w:rPr>
                <w:rFonts w:ascii="Times New Roman" w:eastAsia="Calibri" w:hAnsi="Times New Roman" w:cs="Times New Roman"/>
                <w:b/>
                <w:color w:val="000000" w:themeColor="text1"/>
                <w:sz w:val="24"/>
                <w:szCs w:val="24"/>
                <w:lang w:val="en-GB"/>
              </w:rPr>
              <w:t>50</w:t>
            </w:r>
          </w:p>
        </w:tc>
      </w:tr>
      <w:tr w:rsidR="00DE678A" w:rsidRPr="00DE678A" w14:paraId="06BEDEB9"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337EC29F"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D2BB9"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1</w:t>
            </w:r>
          </w:p>
        </w:tc>
        <w:tc>
          <w:tcPr>
            <w:tcW w:w="1812" w:type="dxa"/>
            <w:tcBorders>
              <w:top w:val="single" w:sz="4" w:space="0" w:color="auto"/>
              <w:left w:val="single" w:sz="4" w:space="0" w:color="auto"/>
              <w:bottom w:val="single" w:sz="4" w:space="0" w:color="auto"/>
              <w:right w:val="single" w:sz="4" w:space="0" w:color="auto"/>
            </w:tcBorders>
            <w:hideMark/>
          </w:tcPr>
          <w:p w14:paraId="2B832981"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1-2</w:t>
            </w:r>
          </w:p>
        </w:tc>
        <w:tc>
          <w:tcPr>
            <w:tcW w:w="1813" w:type="dxa"/>
            <w:tcBorders>
              <w:top w:val="single" w:sz="4" w:space="0" w:color="auto"/>
              <w:left w:val="single" w:sz="4" w:space="0" w:color="auto"/>
              <w:bottom w:val="single" w:sz="4" w:space="0" w:color="auto"/>
              <w:right w:val="single" w:sz="4" w:space="0" w:color="auto"/>
            </w:tcBorders>
            <w:hideMark/>
          </w:tcPr>
          <w:p w14:paraId="61DC16C6"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1-2</w:t>
            </w:r>
          </w:p>
        </w:tc>
        <w:tc>
          <w:tcPr>
            <w:tcW w:w="1817" w:type="dxa"/>
            <w:tcBorders>
              <w:top w:val="single" w:sz="4" w:space="0" w:color="auto"/>
              <w:left w:val="single" w:sz="4" w:space="0" w:color="auto"/>
              <w:bottom w:val="single" w:sz="4" w:space="0" w:color="auto"/>
              <w:right w:val="single" w:sz="4" w:space="0" w:color="auto"/>
            </w:tcBorders>
            <w:hideMark/>
          </w:tcPr>
          <w:p w14:paraId="53628CC2"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r>
      <w:tr w:rsidR="00DE678A" w:rsidRPr="00DE678A" w14:paraId="3687D66A"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6373166D"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304EC7"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2-4</w:t>
            </w:r>
          </w:p>
        </w:tc>
        <w:tc>
          <w:tcPr>
            <w:tcW w:w="1812" w:type="dxa"/>
            <w:tcBorders>
              <w:top w:val="single" w:sz="4" w:space="0" w:color="auto"/>
              <w:left w:val="single" w:sz="4" w:space="0" w:color="auto"/>
              <w:bottom w:val="single" w:sz="4" w:space="0" w:color="auto"/>
              <w:right w:val="single" w:sz="4" w:space="0" w:color="auto"/>
            </w:tcBorders>
            <w:hideMark/>
          </w:tcPr>
          <w:p w14:paraId="454B19CF"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w:t>
            </w:r>
          </w:p>
        </w:tc>
        <w:tc>
          <w:tcPr>
            <w:tcW w:w="1813" w:type="dxa"/>
            <w:tcBorders>
              <w:top w:val="single" w:sz="4" w:space="0" w:color="auto"/>
              <w:left w:val="single" w:sz="4" w:space="0" w:color="auto"/>
              <w:bottom w:val="single" w:sz="4" w:space="0" w:color="auto"/>
              <w:right w:val="single" w:sz="4" w:space="0" w:color="auto"/>
            </w:tcBorders>
            <w:hideMark/>
          </w:tcPr>
          <w:p w14:paraId="6D29FB27"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c>
          <w:tcPr>
            <w:tcW w:w="1817" w:type="dxa"/>
            <w:tcBorders>
              <w:top w:val="single" w:sz="4" w:space="0" w:color="auto"/>
              <w:left w:val="single" w:sz="4" w:space="0" w:color="auto"/>
              <w:bottom w:val="single" w:sz="4" w:space="0" w:color="auto"/>
              <w:right w:val="single" w:sz="4" w:space="0" w:color="auto"/>
            </w:tcBorders>
            <w:hideMark/>
          </w:tcPr>
          <w:p w14:paraId="7E950904"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r>
      <w:tr w:rsidR="00DE678A" w:rsidRPr="00DE678A" w14:paraId="450D4254" w14:textId="77777777" w:rsidTr="00A643F7">
        <w:tc>
          <w:tcPr>
            <w:tcW w:w="2830" w:type="dxa"/>
            <w:vMerge/>
            <w:tcBorders>
              <w:top w:val="single" w:sz="4" w:space="0" w:color="auto"/>
              <w:left w:val="single" w:sz="4" w:space="0" w:color="auto"/>
              <w:bottom w:val="single" w:sz="4" w:space="0" w:color="auto"/>
              <w:right w:val="single" w:sz="4" w:space="0" w:color="auto"/>
            </w:tcBorders>
            <w:vAlign w:val="center"/>
            <w:hideMark/>
          </w:tcPr>
          <w:p w14:paraId="14397302" w14:textId="77777777" w:rsidR="00DE678A" w:rsidRPr="00DE678A" w:rsidRDefault="00DE678A">
            <w:pPr>
              <w:rPr>
                <w:rFonts w:ascii="Times New Roman" w:eastAsia="Calibri" w:hAnsi="Times New Roman" w:cs="Times New Roman"/>
                <w:b/>
                <w:color w:val="000000" w:themeColor="text1"/>
                <w:sz w:val="24"/>
                <w:szCs w:val="24"/>
                <w:lang w:val="en-GB"/>
              </w:rPr>
            </w:pP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DC6AD"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Calibri" w:eastAsia="Calibri" w:hAnsi="Calibri" w:cs="Calibri"/>
                <w:b/>
                <w:color w:val="000000" w:themeColor="text1"/>
                <w:sz w:val="24"/>
                <w:szCs w:val="24"/>
                <w:lang w:val="en-GB"/>
              </w:rPr>
              <w:t>&gt;</w:t>
            </w:r>
            <w:r w:rsidRPr="00DE678A">
              <w:rPr>
                <w:rFonts w:ascii="Times New Roman" w:eastAsia="Calibri" w:hAnsi="Times New Roman" w:cs="Times New Roman"/>
                <w:b/>
                <w:color w:val="000000" w:themeColor="text1"/>
                <w:sz w:val="24"/>
                <w:szCs w:val="24"/>
                <w:lang w:val="en-GB"/>
              </w:rPr>
              <w:t>4</w:t>
            </w:r>
          </w:p>
        </w:tc>
        <w:tc>
          <w:tcPr>
            <w:tcW w:w="1812" w:type="dxa"/>
            <w:tcBorders>
              <w:top w:val="single" w:sz="4" w:space="0" w:color="auto"/>
              <w:left w:val="single" w:sz="4" w:space="0" w:color="auto"/>
              <w:bottom w:val="single" w:sz="4" w:space="0" w:color="auto"/>
              <w:right w:val="single" w:sz="4" w:space="0" w:color="auto"/>
            </w:tcBorders>
            <w:hideMark/>
          </w:tcPr>
          <w:p w14:paraId="74BBC877"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2-3</w:t>
            </w:r>
          </w:p>
        </w:tc>
        <w:tc>
          <w:tcPr>
            <w:tcW w:w="1813" w:type="dxa"/>
            <w:tcBorders>
              <w:top w:val="single" w:sz="4" w:space="0" w:color="auto"/>
              <w:left w:val="single" w:sz="4" w:space="0" w:color="auto"/>
              <w:bottom w:val="single" w:sz="4" w:space="0" w:color="auto"/>
              <w:right w:val="single" w:sz="4" w:space="0" w:color="auto"/>
            </w:tcBorders>
            <w:hideMark/>
          </w:tcPr>
          <w:p w14:paraId="6306738A"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2-4</w:t>
            </w:r>
          </w:p>
        </w:tc>
        <w:tc>
          <w:tcPr>
            <w:tcW w:w="1817" w:type="dxa"/>
            <w:tcBorders>
              <w:top w:val="single" w:sz="4" w:space="0" w:color="auto"/>
              <w:left w:val="single" w:sz="4" w:space="0" w:color="auto"/>
              <w:bottom w:val="single" w:sz="4" w:space="0" w:color="auto"/>
              <w:right w:val="single" w:sz="4" w:space="0" w:color="auto"/>
            </w:tcBorders>
            <w:hideMark/>
          </w:tcPr>
          <w:p w14:paraId="098B6E2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3-4</w:t>
            </w:r>
          </w:p>
        </w:tc>
      </w:tr>
    </w:tbl>
    <w:p w14:paraId="28B675E5"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7AD5A2D0"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When the testing</w:t>
      </w:r>
      <w:r w:rsidR="004C6AB8">
        <w:rPr>
          <w:rFonts w:ascii="Times New Roman" w:eastAsia="Calibri" w:hAnsi="Times New Roman" w:cs="Times New Roman"/>
          <w:bCs/>
          <w:color w:val="000000" w:themeColor="text1"/>
          <w:sz w:val="24"/>
          <w:szCs w:val="24"/>
          <w:lang w:val="en-GB"/>
        </w:rPr>
        <w:t>/calibration</w:t>
      </w:r>
      <w:r w:rsidRPr="00DE678A">
        <w:rPr>
          <w:rFonts w:ascii="Times New Roman" w:eastAsia="Calibri" w:hAnsi="Times New Roman" w:cs="Times New Roman"/>
          <w:bCs/>
          <w:color w:val="000000" w:themeColor="text1"/>
          <w:sz w:val="24"/>
          <w:szCs w:val="24"/>
          <w:lang w:val="en-GB"/>
        </w:rPr>
        <w:t xml:space="preserve"> laboratory is performing conformity assessment activities outside the laboratory (e.g. sampling, testing</w:t>
      </w:r>
      <w:r w:rsidR="004C6AB8">
        <w:rPr>
          <w:rFonts w:ascii="Times New Roman" w:eastAsia="Calibri" w:hAnsi="Times New Roman" w:cs="Times New Roman"/>
          <w:bCs/>
          <w:color w:val="000000" w:themeColor="text1"/>
          <w:sz w:val="24"/>
          <w:szCs w:val="24"/>
          <w:lang w:val="en-GB"/>
        </w:rPr>
        <w:t>, calibration</w:t>
      </w:r>
      <w:r w:rsidRPr="00DE678A">
        <w:rPr>
          <w:rFonts w:ascii="Times New Roman" w:eastAsia="Calibri" w:hAnsi="Times New Roman" w:cs="Times New Roman"/>
          <w:bCs/>
          <w:color w:val="000000" w:themeColor="text1"/>
          <w:sz w:val="24"/>
          <w:szCs w:val="24"/>
          <w:lang w:val="en-GB"/>
        </w:rPr>
        <w:t>), the additional time for the assessment of these activities are added to the number of assessment days presented in the tables.</w:t>
      </w:r>
    </w:p>
    <w:p w14:paraId="70D3F07C"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0DBDA6AF"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Considered the factors listed in clause 1, a deviation of ±20% from the number of assessment days presented in the tables are established by DAK.  </w:t>
      </w:r>
    </w:p>
    <w:p w14:paraId="3FB02EC3"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4FEC89A"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When the laboratory has several locations to be assessed, the number of assessment days are further increased by DAK.</w:t>
      </w:r>
    </w:p>
    <w:p w14:paraId="1D62AD04"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D942999"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80CC6CB" w14:textId="4561D8DF" w:rsidR="00DE678A" w:rsidRPr="00F77B17" w:rsidRDefault="0038743A" w:rsidP="00F77B17">
      <w:pPr>
        <w:pStyle w:val="Heading2"/>
        <w:rPr>
          <w:rFonts w:ascii="Times New Roman" w:eastAsia="Calibri" w:hAnsi="Times New Roman" w:cs="Times New Roman"/>
          <w:b/>
          <w:color w:val="auto"/>
          <w:sz w:val="24"/>
          <w:szCs w:val="24"/>
          <w:lang w:val="en-GB"/>
        </w:rPr>
      </w:pPr>
      <w:bookmarkStart w:id="17" w:name="_Toc24978111"/>
      <w:r w:rsidRPr="00F77B17">
        <w:rPr>
          <w:rFonts w:ascii="Times New Roman" w:eastAsia="Calibri" w:hAnsi="Times New Roman" w:cs="Times New Roman"/>
          <w:b/>
          <w:color w:val="auto"/>
          <w:sz w:val="24"/>
          <w:szCs w:val="24"/>
          <w:lang w:val="en-GB"/>
        </w:rPr>
        <w:t>5.</w:t>
      </w:r>
      <w:r w:rsidR="00D33053" w:rsidRPr="00F77B17">
        <w:rPr>
          <w:rFonts w:ascii="Times New Roman" w:eastAsia="Calibri" w:hAnsi="Times New Roman" w:cs="Times New Roman"/>
          <w:b/>
          <w:color w:val="auto"/>
          <w:sz w:val="24"/>
          <w:szCs w:val="24"/>
          <w:lang w:val="en-GB"/>
        </w:rPr>
        <w:t>3</w:t>
      </w:r>
      <w:r w:rsidRPr="00F77B17">
        <w:rPr>
          <w:rFonts w:ascii="Times New Roman" w:eastAsia="Calibri" w:hAnsi="Times New Roman" w:cs="Times New Roman"/>
          <w:b/>
          <w:color w:val="auto"/>
          <w:sz w:val="24"/>
          <w:szCs w:val="24"/>
          <w:lang w:val="en-GB"/>
        </w:rPr>
        <w:t xml:space="preserve"> </w:t>
      </w:r>
      <w:r w:rsidR="00DE678A" w:rsidRPr="00F77B17">
        <w:rPr>
          <w:rFonts w:ascii="Times New Roman" w:eastAsia="Calibri" w:hAnsi="Times New Roman" w:cs="Times New Roman"/>
          <w:b/>
          <w:color w:val="auto"/>
          <w:sz w:val="24"/>
          <w:szCs w:val="24"/>
          <w:lang w:val="en-GB"/>
        </w:rPr>
        <w:t>Number of assessment days for inspection bodies</w:t>
      </w:r>
      <w:bookmarkEnd w:id="17"/>
    </w:p>
    <w:p w14:paraId="4D334F75" w14:textId="77777777" w:rsidR="00DE678A" w:rsidRPr="00DE678A" w:rsidRDefault="00DE678A" w:rsidP="00DE678A">
      <w:pPr>
        <w:tabs>
          <w:tab w:val="left" w:pos="426"/>
        </w:tabs>
        <w:spacing w:after="0" w:line="240" w:lineRule="auto"/>
        <w:jc w:val="both"/>
        <w:rPr>
          <w:rFonts w:ascii="Times New Roman" w:eastAsia="Calibri" w:hAnsi="Times New Roman" w:cs="Times New Roman"/>
          <w:color w:val="000000" w:themeColor="text1"/>
          <w:sz w:val="24"/>
          <w:szCs w:val="24"/>
          <w:lang w:val="en-GB"/>
        </w:rPr>
      </w:pPr>
    </w:p>
    <w:p w14:paraId="447C230E" w14:textId="3792868A"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Number of assessment days of inspection bodies are calculated based on the number of products/group of products to be inspected defined in PO-03-Annex 1 </w:t>
      </w:r>
      <w:r w:rsidR="0086410B">
        <w:rPr>
          <w:rFonts w:ascii="Times New Roman" w:eastAsia="Calibri" w:hAnsi="Times New Roman" w:cs="Times New Roman"/>
          <w:bCs/>
          <w:color w:val="000000" w:themeColor="text1"/>
          <w:sz w:val="24"/>
          <w:szCs w:val="24"/>
          <w:lang w:val="en-GB"/>
        </w:rPr>
        <w:t>Accreditation activity and criteria</w:t>
      </w:r>
      <w:r w:rsidRPr="00DE678A">
        <w:rPr>
          <w:rFonts w:ascii="Times New Roman" w:eastAsia="Calibri" w:hAnsi="Times New Roman" w:cs="Times New Roman"/>
          <w:bCs/>
          <w:color w:val="000000" w:themeColor="text1"/>
          <w:sz w:val="24"/>
          <w:szCs w:val="24"/>
          <w:lang w:val="en-GB"/>
        </w:rPr>
        <w:t>.</w:t>
      </w:r>
    </w:p>
    <w:p w14:paraId="6959AAF9"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3000F8F6"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Tables 3 provides the necessary number of assessment days for initial accreditation, extension of scope of accreditation, renewal of accreditation and for surveillance assessment. </w:t>
      </w:r>
    </w:p>
    <w:p w14:paraId="305BBB6D"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4A321811"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When the extension of scope of accreditation is performed during the surveillance assessment, minimum 50% of the assessment days calculated according to table 3 for the extension of scope of accreditation are added to the number of assessment days for surveillance. For example, when the inspection body requests to extend its scope of accreditation to a new product, 1 basic assessment day plus 0,5-1 day for the new product are added to the number of assessment days for surveillance assessment. </w:t>
      </w:r>
    </w:p>
    <w:p w14:paraId="7ED22B59"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5FD5FA1A" w14:textId="77777777" w:rsidR="00DE678A" w:rsidRPr="00DE678A" w:rsidRDefault="00DE678A" w:rsidP="00DE678A">
      <w:pPr>
        <w:spacing w:after="12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Table 3 – Number of assessment days </w:t>
      </w:r>
    </w:p>
    <w:tbl>
      <w:tblPr>
        <w:tblStyle w:val="TableGrid"/>
        <w:tblW w:w="0" w:type="auto"/>
        <w:tblLook w:val="04A0" w:firstRow="1" w:lastRow="0" w:firstColumn="1" w:lastColumn="0" w:noHBand="0" w:noVBand="1"/>
      </w:tblPr>
      <w:tblGrid>
        <w:gridCol w:w="2265"/>
        <w:gridCol w:w="2692"/>
        <w:gridCol w:w="2266"/>
        <w:gridCol w:w="2266"/>
      </w:tblGrid>
      <w:tr w:rsidR="00DE678A" w:rsidRPr="00DE678A" w14:paraId="6F561C0B" w14:textId="77777777" w:rsidTr="00A643F7">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8B28E" w14:textId="77777777" w:rsidR="00DE678A" w:rsidRPr="00DE678A" w:rsidRDefault="00DE678A">
            <w:pPr>
              <w:jc w:val="center"/>
              <w:rPr>
                <w:rFonts w:ascii="Times New Roman" w:eastAsia="Calibri" w:hAnsi="Times New Roman" w:cs="Times New Roman"/>
                <w:b/>
                <w:color w:val="000000" w:themeColor="text1"/>
                <w:sz w:val="24"/>
                <w:szCs w:val="24"/>
                <w:lang w:val="en-GB"/>
              </w:rPr>
            </w:pPr>
          </w:p>
        </w:tc>
        <w:tc>
          <w:tcPr>
            <w:tcW w:w="2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6B5C6"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Initial accreditation &amp;</w:t>
            </w:r>
          </w:p>
          <w:p w14:paraId="72482BA4"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Extension of scope of accreditation</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340E"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Surveillance assessment</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CD222"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Renewal of accreditation</w:t>
            </w:r>
          </w:p>
        </w:tc>
      </w:tr>
      <w:tr w:rsidR="00DE678A" w:rsidRPr="00DE678A" w14:paraId="7E4760CC" w14:textId="77777777" w:rsidTr="00A643F7">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ECCF4" w14:textId="77777777" w:rsidR="00DE678A" w:rsidRPr="00DE678A" w:rsidRDefault="00DE678A">
            <w:pP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assessment days</w:t>
            </w:r>
          </w:p>
        </w:tc>
        <w:tc>
          <w:tcPr>
            <w:tcW w:w="2692" w:type="dxa"/>
            <w:tcBorders>
              <w:top w:val="single" w:sz="4" w:space="0" w:color="auto"/>
              <w:left w:val="single" w:sz="4" w:space="0" w:color="auto"/>
              <w:bottom w:val="single" w:sz="4" w:space="0" w:color="auto"/>
              <w:right w:val="single" w:sz="4" w:space="0" w:color="auto"/>
            </w:tcBorders>
            <w:hideMark/>
          </w:tcPr>
          <w:p w14:paraId="7C898953"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 days</w:t>
            </w:r>
          </w:p>
          <w:p w14:paraId="43662971"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t>
            </w:r>
          </w:p>
          <w:p w14:paraId="4150AA4B"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0,5-1 day for each group of products inspected</w:t>
            </w:r>
          </w:p>
        </w:tc>
        <w:tc>
          <w:tcPr>
            <w:tcW w:w="2266" w:type="dxa"/>
            <w:tcBorders>
              <w:top w:val="single" w:sz="4" w:space="0" w:color="auto"/>
              <w:left w:val="single" w:sz="4" w:space="0" w:color="auto"/>
              <w:bottom w:val="single" w:sz="4" w:space="0" w:color="auto"/>
              <w:right w:val="single" w:sz="4" w:space="0" w:color="auto"/>
            </w:tcBorders>
            <w:hideMark/>
          </w:tcPr>
          <w:p w14:paraId="4EA1DBB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 day</w:t>
            </w:r>
          </w:p>
          <w:p w14:paraId="32768E24"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t>
            </w:r>
          </w:p>
          <w:p w14:paraId="0937B753"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0,5-1 day for each group of products inspected</w:t>
            </w:r>
          </w:p>
        </w:tc>
        <w:tc>
          <w:tcPr>
            <w:tcW w:w="2266" w:type="dxa"/>
            <w:tcBorders>
              <w:top w:val="single" w:sz="4" w:space="0" w:color="auto"/>
              <w:left w:val="single" w:sz="4" w:space="0" w:color="auto"/>
              <w:bottom w:val="single" w:sz="4" w:space="0" w:color="auto"/>
              <w:right w:val="single" w:sz="4" w:space="0" w:color="auto"/>
            </w:tcBorders>
            <w:hideMark/>
          </w:tcPr>
          <w:p w14:paraId="3980A021"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1-2 days</w:t>
            </w:r>
          </w:p>
          <w:p w14:paraId="168BD594"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w:t>
            </w:r>
          </w:p>
          <w:p w14:paraId="0D8D3C1A"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0,5-1 day for each group of products inspected</w:t>
            </w:r>
          </w:p>
        </w:tc>
      </w:tr>
    </w:tbl>
    <w:p w14:paraId="13596A86"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8584642"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When the inspection body has several office locations to be assessed, the number of basic assessment days (i.e. 2 days for initial accreditation or extension of scope of accreditation) can be increased by DAK. </w:t>
      </w:r>
    </w:p>
    <w:p w14:paraId="1D8C38EE"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2770CBF8"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The days for each group of products in the above table are usually spent on witnessing inspection activities outside the office of the inspection body. </w:t>
      </w:r>
    </w:p>
    <w:p w14:paraId="2D4DA3D7"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1693322B"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Considered the factors listed in clause 1, a deviation of ±20% from the number of assessment days presented in the tables can be established by DAK.  </w:t>
      </w:r>
    </w:p>
    <w:p w14:paraId="27F864E7"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7F43BE1E"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4E17AAF" w14:textId="39B3DF82" w:rsidR="00DE678A" w:rsidRPr="00584CDD" w:rsidRDefault="0038743A" w:rsidP="00584CDD">
      <w:pPr>
        <w:pStyle w:val="Heading2"/>
        <w:rPr>
          <w:rFonts w:ascii="Times New Roman" w:eastAsia="Calibri" w:hAnsi="Times New Roman" w:cs="Times New Roman"/>
          <w:b/>
          <w:color w:val="auto"/>
          <w:sz w:val="24"/>
          <w:szCs w:val="24"/>
          <w:lang w:val="en-GB"/>
        </w:rPr>
      </w:pPr>
      <w:bookmarkStart w:id="18" w:name="_Toc24978112"/>
      <w:r w:rsidRPr="00584CDD">
        <w:rPr>
          <w:rFonts w:ascii="Times New Roman" w:eastAsia="Calibri" w:hAnsi="Times New Roman" w:cs="Times New Roman"/>
          <w:b/>
          <w:color w:val="auto"/>
          <w:sz w:val="24"/>
          <w:szCs w:val="24"/>
          <w:lang w:val="en-GB"/>
        </w:rPr>
        <w:lastRenderedPageBreak/>
        <w:t>5.</w:t>
      </w:r>
      <w:r w:rsidR="00D33053" w:rsidRPr="00584CDD">
        <w:rPr>
          <w:rFonts w:ascii="Times New Roman" w:eastAsia="Calibri" w:hAnsi="Times New Roman" w:cs="Times New Roman"/>
          <w:b/>
          <w:color w:val="auto"/>
          <w:sz w:val="24"/>
          <w:szCs w:val="24"/>
          <w:lang w:val="en-GB"/>
        </w:rPr>
        <w:t>4</w:t>
      </w:r>
      <w:r w:rsidRPr="00584CDD">
        <w:rPr>
          <w:rFonts w:ascii="Times New Roman" w:eastAsia="Calibri" w:hAnsi="Times New Roman" w:cs="Times New Roman"/>
          <w:b/>
          <w:color w:val="auto"/>
          <w:sz w:val="24"/>
          <w:szCs w:val="24"/>
          <w:lang w:val="en-GB"/>
        </w:rPr>
        <w:t xml:space="preserve"> </w:t>
      </w:r>
      <w:r w:rsidR="00DE678A" w:rsidRPr="00584CDD">
        <w:rPr>
          <w:rFonts w:ascii="Times New Roman" w:eastAsia="Calibri" w:hAnsi="Times New Roman" w:cs="Times New Roman"/>
          <w:b/>
          <w:color w:val="auto"/>
          <w:sz w:val="24"/>
          <w:szCs w:val="24"/>
          <w:lang w:val="en-GB"/>
        </w:rPr>
        <w:t>Number of assessment days for pre- and post-assessment activities</w:t>
      </w:r>
      <w:bookmarkEnd w:id="18"/>
    </w:p>
    <w:p w14:paraId="392C7A18" w14:textId="77777777" w:rsidR="00DE678A" w:rsidRPr="00DE678A" w:rsidRDefault="00DE678A" w:rsidP="00DE678A">
      <w:pPr>
        <w:tabs>
          <w:tab w:val="left" w:pos="426"/>
        </w:tabs>
        <w:spacing w:after="0" w:line="240" w:lineRule="auto"/>
        <w:jc w:val="both"/>
        <w:rPr>
          <w:rFonts w:ascii="Times New Roman" w:eastAsia="Calibri" w:hAnsi="Times New Roman" w:cs="Times New Roman"/>
          <w:bCs/>
          <w:color w:val="000000" w:themeColor="text1"/>
          <w:sz w:val="24"/>
          <w:szCs w:val="24"/>
          <w:lang w:val="en-GB"/>
        </w:rPr>
      </w:pPr>
    </w:p>
    <w:p w14:paraId="7A54C17C" w14:textId="77777777" w:rsidR="00D33053" w:rsidRPr="00A643F7" w:rsidRDefault="00D33053" w:rsidP="00DE678A">
      <w:pPr>
        <w:tabs>
          <w:tab w:val="left" w:pos="426"/>
        </w:tabs>
        <w:spacing w:after="0" w:line="24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
          <w:color w:val="000000" w:themeColor="text1"/>
          <w:sz w:val="24"/>
          <w:szCs w:val="24"/>
          <w:lang w:val="en-GB"/>
        </w:rPr>
        <w:t>Please note that t</w:t>
      </w:r>
      <w:r w:rsidRPr="00A643F7">
        <w:rPr>
          <w:rFonts w:ascii="Times New Roman" w:eastAsia="Calibri" w:hAnsi="Times New Roman" w:cs="Times New Roman"/>
          <w:b/>
          <w:color w:val="000000" w:themeColor="text1"/>
          <w:sz w:val="24"/>
          <w:szCs w:val="24"/>
          <w:lang w:val="en-GB"/>
        </w:rPr>
        <w:t>his part of the policy will only be applied when the Administrative Instruction (MTI) No.03/2018 Setting up the Accreditation Tariff is amended</w:t>
      </w:r>
      <w:r>
        <w:rPr>
          <w:rFonts w:ascii="Times New Roman" w:eastAsia="Calibri" w:hAnsi="Times New Roman" w:cs="Times New Roman"/>
          <w:b/>
          <w:color w:val="000000" w:themeColor="text1"/>
          <w:sz w:val="24"/>
          <w:szCs w:val="24"/>
          <w:lang w:val="en-GB"/>
        </w:rPr>
        <w:t>. DAK will provide information on the date of its application on its website.</w:t>
      </w:r>
    </w:p>
    <w:p w14:paraId="208F98ED" w14:textId="77777777" w:rsidR="00D33053" w:rsidRDefault="00D33053" w:rsidP="00DE678A">
      <w:pPr>
        <w:tabs>
          <w:tab w:val="left" w:pos="426"/>
        </w:tabs>
        <w:spacing w:after="0" w:line="240" w:lineRule="auto"/>
        <w:jc w:val="both"/>
        <w:rPr>
          <w:rFonts w:ascii="Times New Roman" w:eastAsia="Calibri" w:hAnsi="Times New Roman" w:cs="Times New Roman"/>
          <w:bCs/>
          <w:color w:val="000000" w:themeColor="text1"/>
          <w:sz w:val="24"/>
          <w:szCs w:val="24"/>
          <w:lang w:val="en-GB"/>
        </w:rPr>
      </w:pPr>
    </w:p>
    <w:p w14:paraId="3FEA7EB6" w14:textId="77777777" w:rsidR="00DE678A" w:rsidRPr="00DE678A" w:rsidRDefault="00DE678A" w:rsidP="00DE678A">
      <w:pPr>
        <w:tabs>
          <w:tab w:val="left" w:pos="426"/>
        </w:tabs>
        <w:spacing w:after="0" w:line="240" w:lineRule="auto"/>
        <w:jc w:val="both"/>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For the pre- and post-assessment activities of the members of the assessment team, the following days are added to the above established number of assessment days:</w:t>
      </w:r>
    </w:p>
    <w:p w14:paraId="220BD1F4" w14:textId="77777777" w:rsidR="00DE678A" w:rsidRPr="00DE678A" w:rsidRDefault="00DE678A" w:rsidP="00DE678A">
      <w:pPr>
        <w:tabs>
          <w:tab w:val="left" w:pos="426"/>
        </w:tabs>
        <w:spacing w:after="0" w:line="240" w:lineRule="auto"/>
        <w:jc w:val="both"/>
        <w:rPr>
          <w:rFonts w:ascii="Times New Roman" w:eastAsia="Calibri" w:hAnsi="Times New Roman" w:cs="Times New Roman"/>
          <w:bCs/>
          <w:color w:val="000000" w:themeColor="text1"/>
          <w:sz w:val="24"/>
          <w:szCs w:val="24"/>
          <w:lang w:val="en-GB"/>
        </w:rPr>
      </w:pPr>
    </w:p>
    <w:tbl>
      <w:tblPr>
        <w:tblStyle w:val="TableGrid"/>
        <w:tblW w:w="0" w:type="auto"/>
        <w:tblLook w:val="04A0" w:firstRow="1" w:lastRow="0" w:firstColumn="1" w:lastColumn="0" w:noHBand="0" w:noVBand="1"/>
      </w:tblPr>
      <w:tblGrid>
        <w:gridCol w:w="1812"/>
        <w:gridCol w:w="1812"/>
        <w:gridCol w:w="1812"/>
        <w:gridCol w:w="1813"/>
        <w:gridCol w:w="1813"/>
      </w:tblGrid>
      <w:tr w:rsidR="00DE678A" w:rsidRPr="00DE678A" w14:paraId="60677B3F" w14:textId="77777777" w:rsidTr="00DE678A">
        <w:tc>
          <w:tcPr>
            <w:tcW w:w="18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23C35" w14:textId="77777777" w:rsidR="00DE678A" w:rsidRPr="00DE678A" w:rsidRDefault="00DE678A">
            <w:pPr>
              <w:jc w:val="center"/>
              <w:rPr>
                <w:rFonts w:ascii="Times New Roman" w:eastAsia="Calibri" w:hAnsi="Times New Roman" w:cs="Times New Roman"/>
                <w:b/>
                <w:sz w:val="24"/>
                <w:szCs w:val="24"/>
                <w:lang w:val="en-GB"/>
              </w:rPr>
            </w:pPr>
            <w:r w:rsidRPr="00DE678A">
              <w:rPr>
                <w:rFonts w:ascii="Times New Roman" w:eastAsia="Calibri" w:hAnsi="Times New Roman" w:cs="Times New Roman"/>
                <w:b/>
                <w:sz w:val="24"/>
                <w:szCs w:val="24"/>
                <w:lang w:val="en-GB"/>
              </w:rPr>
              <w:t>Type of assessment</w:t>
            </w:r>
          </w:p>
        </w:tc>
        <w:tc>
          <w:tcPr>
            <w:tcW w:w="72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C8A6E"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Number of days for pre- and post-assessment activities</w:t>
            </w:r>
          </w:p>
        </w:tc>
      </w:tr>
      <w:tr w:rsidR="00DE678A" w:rsidRPr="00DE678A" w14:paraId="61D1E250" w14:textId="77777777" w:rsidTr="00DE678A">
        <w:tc>
          <w:tcPr>
            <w:tcW w:w="0" w:type="auto"/>
            <w:vMerge/>
            <w:tcBorders>
              <w:top w:val="single" w:sz="4" w:space="0" w:color="auto"/>
              <w:left w:val="single" w:sz="4" w:space="0" w:color="auto"/>
              <w:bottom w:val="single" w:sz="4" w:space="0" w:color="auto"/>
              <w:right w:val="single" w:sz="4" w:space="0" w:color="auto"/>
            </w:tcBorders>
            <w:vAlign w:val="center"/>
            <w:hideMark/>
          </w:tcPr>
          <w:p w14:paraId="7CEFFF31" w14:textId="77777777" w:rsidR="00DE678A" w:rsidRPr="00DE678A" w:rsidRDefault="00DE678A">
            <w:pPr>
              <w:rPr>
                <w:rFonts w:ascii="Times New Roman" w:eastAsia="Calibri" w:hAnsi="Times New Roman" w:cs="Times New Roman"/>
                <w:b/>
                <w:sz w:val="24"/>
                <w:szCs w:val="24"/>
                <w:lang w:val="en-GB"/>
              </w:rPr>
            </w:pP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DFCCE"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sz w:val="24"/>
                <w:szCs w:val="24"/>
                <w:lang w:val="en-GB"/>
              </w:rPr>
              <w:t>Lead assessor</w:t>
            </w: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82401"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Technical assessor</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A2AE8"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Assessor</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CD988" w14:textId="77777777" w:rsidR="00DE678A" w:rsidRPr="00DE678A" w:rsidRDefault="00DE678A">
            <w:pPr>
              <w:jc w:val="center"/>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Technical expert</w:t>
            </w:r>
          </w:p>
        </w:tc>
      </w:tr>
      <w:tr w:rsidR="00DE678A" w:rsidRPr="00DE678A" w14:paraId="2977A371" w14:textId="77777777" w:rsidTr="00DE678A">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401D6" w14:textId="77777777" w:rsidR="00DE678A" w:rsidRPr="00DE678A" w:rsidRDefault="00DE678A" w:rsidP="00DE678A">
            <w:pPr>
              <w:pStyle w:val="ListParagraph"/>
              <w:numPr>
                <w:ilvl w:val="0"/>
                <w:numId w:val="30"/>
              </w:numPr>
              <w:ind w:left="174" w:hanging="142"/>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Initial accreditation</w:t>
            </w:r>
          </w:p>
          <w:p w14:paraId="0527425E" w14:textId="77777777" w:rsidR="00DE678A" w:rsidRPr="00DE678A" w:rsidRDefault="00DE678A" w:rsidP="00DE678A">
            <w:pPr>
              <w:pStyle w:val="ListParagraph"/>
              <w:numPr>
                <w:ilvl w:val="0"/>
                <w:numId w:val="30"/>
              </w:numPr>
              <w:ind w:left="174" w:hanging="142"/>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Extension of scope of accreditation</w:t>
            </w:r>
          </w:p>
          <w:p w14:paraId="4E29B889" w14:textId="77777777" w:rsidR="00DE678A" w:rsidRPr="00DE678A" w:rsidRDefault="00DE678A" w:rsidP="00DE678A">
            <w:pPr>
              <w:pStyle w:val="ListParagraph"/>
              <w:numPr>
                <w:ilvl w:val="0"/>
                <w:numId w:val="30"/>
              </w:numPr>
              <w:ind w:left="174" w:hanging="142"/>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Renewal of accreditation</w:t>
            </w:r>
          </w:p>
        </w:tc>
        <w:tc>
          <w:tcPr>
            <w:tcW w:w="1812" w:type="dxa"/>
            <w:tcBorders>
              <w:top w:val="single" w:sz="4" w:space="0" w:color="auto"/>
              <w:left w:val="single" w:sz="4" w:space="0" w:color="auto"/>
              <w:bottom w:val="single" w:sz="4" w:space="0" w:color="auto"/>
              <w:right w:val="single" w:sz="4" w:space="0" w:color="auto"/>
            </w:tcBorders>
            <w:hideMark/>
          </w:tcPr>
          <w:p w14:paraId="319935F0"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 day</w:t>
            </w:r>
          </w:p>
          <w:p w14:paraId="5DB70DAE"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(6 hours)</w:t>
            </w:r>
          </w:p>
        </w:tc>
        <w:tc>
          <w:tcPr>
            <w:tcW w:w="1812" w:type="dxa"/>
            <w:tcBorders>
              <w:top w:val="single" w:sz="4" w:space="0" w:color="auto"/>
              <w:left w:val="single" w:sz="4" w:space="0" w:color="auto"/>
              <w:bottom w:val="single" w:sz="4" w:space="0" w:color="auto"/>
              <w:right w:val="single" w:sz="4" w:space="0" w:color="auto"/>
            </w:tcBorders>
            <w:hideMark/>
          </w:tcPr>
          <w:p w14:paraId="5294AFB7"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0,5 day</w:t>
            </w:r>
          </w:p>
          <w:p w14:paraId="2D25E1B7"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(3 hours)</w:t>
            </w:r>
          </w:p>
        </w:tc>
        <w:tc>
          <w:tcPr>
            <w:tcW w:w="1813" w:type="dxa"/>
            <w:tcBorders>
              <w:top w:val="single" w:sz="4" w:space="0" w:color="auto"/>
              <w:left w:val="single" w:sz="4" w:space="0" w:color="auto"/>
              <w:bottom w:val="single" w:sz="4" w:space="0" w:color="auto"/>
              <w:right w:val="single" w:sz="4" w:space="0" w:color="auto"/>
            </w:tcBorders>
            <w:hideMark/>
          </w:tcPr>
          <w:p w14:paraId="2150E1FB"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0,33 day</w:t>
            </w:r>
          </w:p>
          <w:p w14:paraId="36FA0C03"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 hours)</w:t>
            </w:r>
          </w:p>
        </w:tc>
        <w:tc>
          <w:tcPr>
            <w:tcW w:w="1813" w:type="dxa"/>
            <w:tcBorders>
              <w:top w:val="single" w:sz="4" w:space="0" w:color="auto"/>
              <w:left w:val="single" w:sz="4" w:space="0" w:color="auto"/>
              <w:bottom w:val="single" w:sz="4" w:space="0" w:color="auto"/>
              <w:right w:val="single" w:sz="4" w:space="0" w:color="auto"/>
            </w:tcBorders>
            <w:hideMark/>
          </w:tcPr>
          <w:p w14:paraId="31ABA0EA"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 5 day</w:t>
            </w:r>
          </w:p>
          <w:p w14:paraId="2048F1F9"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(3 hours)</w:t>
            </w:r>
          </w:p>
        </w:tc>
      </w:tr>
      <w:tr w:rsidR="00DE678A" w:rsidRPr="00DE678A" w14:paraId="1D5451C1" w14:textId="77777777" w:rsidTr="00DE678A">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5F28D" w14:textId="77777777" w:rsidR="00DE678A" w:rsidRPr="00DE678A" w:rsidRDefault="00DE678A">
            <w:pPr>
              <w:jc w:val="both"/>
              <w:rPr>
                <w:rFonts w:ascii="Times New Roman" w:eastAsia="Calibri" w:hAnsi="Times New Roman" w:cs="Times New Roman"/>
                <w:b/>
                <w:color w:val="000000" w:themeColor="text1"/>
                <w:sz w:val="24"/>
                <w:szCs w:val="24"/>
                <w:lang w:val="en-GB"/>
              </w:rPr>
            </w:pPr>
            <w:r w:rsidRPr="00DE678A">
              <w:rPr>
                <w:rFonts w:ascii="Times New Roman" w:eastAsia="Calibri" w:hAnsi="Times New Roman" w:cs="Times New Roman"/>
                <w:b/>
                <w:color w:val="000000" w:themeColor="text1"/>
                <w:sz w:val="24"/>
                <w:szCs w:val="24"/>
                <w:lang w:val="en-GB"/>
              </w:rPr>
              <w:t>Surveillance assessment</w:t>
            </w:r>
          </w:p>
        </w:tc>
        <w:tc>
          <w:tcPr>
            <w:tcW w:w="1812" w:type="dxa"/>
            <w:tcBorders>
              <w:top w:val="single" w:sz="4" w:space="0" w:color="auto"/>
              <w:left w:val="single" w:sz="4" w:space="0" w:color="auto"/>
              <w:bottom w:val="single" w:sz="4" w:space="0" w:color="auto"/>
              <w:right w:val="single" w:sz="4" w:space="0" w:color="auto"/>
            </w:tcBorders>
            <w:hideMark/>
          </w:tcPr>
          <w:p w14:paraId="5DF6F68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0,67 day</w:t>
            </w:r>
          </w:p>
          <w:p w14:paraId="665C2A59"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(4 hours)</w:t>
            </w:r>
          </w:p>
        </w:tc>
        <w:tc>
          <w:tcPr>
            <w:tcW w:w="1812" w:type="dxa"/>
            <w:tcBorders>
              <w:top w:val="single" w:sz="4" w:space="0" w:color="auto"/>
              <w:left w:val="single" w:sz="4" w:space="0" w:color="auto"/>
              <w:bottom w:val="single" w:sz="4" w:space="0" w:color="auto"/>
              <w:right w:val="single" w:sz="4" w:space="0" w:color="auto"/>
            </w:tcBorders>
            <w:hideMark/>
          </w:tcPr>
          <w:p w14:paraId="78D196F5"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0,33 day</w:t>
            </w:r>
          </w:p>
          <w:p w14:paraId="1B993429"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 xml:space="preserve"> (2 hours)</w:t>
            </w:r>
          </w:p>
        </w:tc>
        <w:tc>
          <w:tcPr>
            <w:tcW w:w="1813" w:type="dxa"/>
            <w:tcBorders>
              <w:top w:val="single" w:sz="4" w:space="0" w:color="auto"/>
              <w:left w:val="single" w:sz="4" w:space="0" w:color="auto"/>
              <w:bottom w:val="single" w:sz="4" w:space="0" w:color="auto"/>
              <w:right w:val="single" w:sz="4" w:space="0" w:color="auto"/>
            </w:tcBorders>
            <w:hideMark/>
          </w:tcPr>
          <w:p w14:paraId="5F72C5CF"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0,17 day</w:t>
            </w:r>
          </w:p>
          <w:p w14:paraId="511B89E3"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(1 hours)</w:t>
            </w:r>
          </w:p>
        </w:tc>
        <w:tc>
          <w:tcPr>
            <w:tcW w:w="1813" w:type="dxa"/>
            <w:tcBorders>
              <w:top w:val="single" w:sz="4" w:space="0" w:color="auto"/>
              <w:left w:val="single" w:sz="4" w:space="0" w:color="auto"/>
              <w:bottom w:val="single" w:sz="4" w:space="0" w:color="auto"/>
              <w:right w:val="single" w:sz="4" w:space="0" w:color="auto"/>
            </w:tcBorders>
            <w:hideMark/>
          </w:tcPr>
          <w:p w14:paraId="2885B4B0"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0,33 day</w:t>
            </w:r>
          </w:p>
          <w:p w14:paraId="2C719B01" w14:textId="77777777" w:rsidR="00DE678A" w:rsidRPr="00DE678A" w:rsidRDefault="00DE678A">
            <w:pPr>
              <w:jc w:val="center"/>
              <w:rPr>
                <w:rFonts w:ascii="Times New Roman" w:eastAsia="Calibri" w:hAnsi="Times New Roman" w:cs="Times New Roman"/>
                <w:bCs/>
                <w:color w:val="000000" w:themeColor="text1"/>
                <w:sz w:val="24"/>
                <w:szCs w:val="24"/>
                <w:lang w:val="en-GB"/>
              </w:rPr>
            </w:pPr>
            <w:r w:rsidRPr="00DE678A">
              <w:rPr>
                <w:rFonts w:ascii="Times New Roman" w:eastAsia="Calibri" w:hAnsi="Times New Roman" w:cs="Times New Roman"/>
                <w:bCs/>
                <w:color w:val="000000" w:themeColor="text1"/>
                <w:sz w:val="24"/>
                <w:szCs w:val="24"/>
                <w:lang w:val="en-GB"/>
              </w:rPr>
              <w:t>(2 hours)</w:t>
            </w:r>
          </w:p>
        </w:tc>
      </w:tr>
    </w:tbl>
    <w:p w14:paraId="46D10B2A"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6EB20E82"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3FE37EB2" w14:textId="0BE680F0" w:rsidR="00F56E8C" w:rsidRPr="002814FC" w:rsidRDefault="002814FC" w:rsidP="002814FC">
      <w:pPr>
        <w:pStyle w:val="Heading1"/>
        <w:rPr>
          <w:rFonts w:ascii="Times New Roman" w:hAnsi="Times New Roman" w:cs="Times New Roman"/>
          <w:color w:val="auto"/>
          <w:sz w:val="24"/>
          <w:szCs w:val="24"/>
        </w:rPr>
      </w:pPr>
      <w:bookmarkStart w:id="19" w:name="_Toc24978113"/>
      <w:r>
        <w:rPr>
          <w:rFonts w:ascii="Times New Roman" w:hAnsi="Times New Roman" w:cs="Times New Roman"/>
          <w:color w:val="auto"/>
          <w:sz w:val="24"/>
          <w:szCs w:val="24"/>
        </w:rPr>
        <w:t xml:space="preserve">6. </w:t>
      </w:r>
      <w:r w:rsidR="00F56E8C" w:rsidRPr="002814FC">
        <w:rPr>
          <w:rFonts w:ascii="Times New Roman" w:hAnsi="Times New Roman" w:cs="Times New Roman"/>
          <w:color w:val="auto"/>
          <w:sz w:val="24"/>
          <w:szCs w:val="24"/>
        </w:rPr>
        <w:t>ANNEXES</w:t>
      </w:r>
      <w:bookmarkEnd w:id="19"/>
    </w:p>
    <w:p w14:paraId="15805B0B" w14:textId="77777777" w:rsidR="004C6AB8" w:rsidRDefault="00C92185" w:rsidP="00C92185">
      <w:pPr>
        <w:tabs>
          <w:tab w:val="left" w:pos="7180"/>
        </w:tabs>
        <w:spacing w:after="0" w:line="240" w:lineRule="auto"/>
        <w:jc w:val="both"/>
        <w:rPr>
          <w:rFonts w:ascii="Times New Roman" w:eastAsia="Times New Roman" w:hAnsi="Times New Roman" w:cs="Times New Roman"/>
          <w:sz w:val="24"/>
          <w:szCs w:val="24"/>
          <w:lang w:val="en-GB" w:bidi="gu-IN"/>
        </w:rPr>
      </w:pPr>
      <w:r w:rsidRPr="00A643F7">
        <w:rPr>
          <w:rFonts w:ascii="Times New Roman" w:eastAsia="Times New Roman" w:hAnsi="Times New Roman" w:cs="Times New Roman"/>
          <w:sz w:val="24"/>
          <w:szCs w:val="24"/>
          <w:lang w:val="en-GB" w:bidi="gu-IN"/>
        </w:rPr>
        <w:t xml:space="preserve">           </w:t>
      </w:r>
    </w:p>
    <w:p w14:paraId="1AA719F3" w14:textId="7EC882B1" w:rsidR="00C92185" w:rsidRPr="00A643F7" w:rsidRDefault="004C6AB8" w:rsidP="00C92185">
      <w:pPr>
        <w:tabs>
          <w:tab w:val="left" w:pos="7180"/>
        </w:tabs>
        <w:spacing w:after="0" w:line="240" w:lineRule="auto"/>
        <w:jc w:val="both"/>
        <w:rPr>
          <w:rFonts w:ascii="Times New Roman" w:eastAsia="Times New Roman" w:hAnsi="Times New Roman" w:cs="Times New Roman"/>
          <w:sz w:val="24"/>
          <w:szCs w:val="24"/>
          <w:lang w:val="en-GB" w:bidi="gu-IN"/>
        </w:rPr>
      </w:pPr>
      <w:r>
        <w:rPr>
          <w:rFonts w:ascii="Times New Roman" w:eastAsia="Times New Roman" w:hAnsi="Times New Roman" w:cs="Times New Roman"/>
          <w:sz w:val="24"/>
          <w:szCs w:val="24"/>
          <w:lang w:val="en-GB" w:bidi="gu-IN"/>
        </w:rPr>
        <w:t>Not applicable</w:t>
      </w:r>
    </w:p>
    <w:p w14:paraId="179B4989" w14:textId="3B39BA08" w:rsidR="00C92185" w:rsidRPr="002814FC" w:rsidRDefault="002814FC" w:rsidP="002814FC">
      <w:pPr>
        <w:pStyle w:val="Heading1"/>
        <w:rPr>
          <w:rFonts w:ascii="Times New Roman" w:hAnsi="Times New Roman" w:cs="Times New Roman"/>
          <w:color w:val="auto"/>
          <w:sz w:val="24"/>
          <w:szCs w:val="24"/>
        </w:rPr>
      </w:pPr>
      <w:bookmarkStart w:id="20" w:name="_Toc24978114"/>
      <w:r w:rsidRPr="002814FC">
        <w:rPr>
          <w:rFonts w:ascii="Times New Roman" w:hAnsi="Times New Roman" w:cs="Times New Roman"/>
          <w:color w:val="auto"/>
          <w:sz w:val="24"/>
          <w:szCs w:val="24"/>
        </w:rPr>
        <w:t xml:space="preserve">7. </w:t>
      </w:r>
      <w:r w:rsidR="00C92185" w:rsidRPr="002814FC">
        <w:rPr>
          <w:rFonts w:ascii="Times New Roman" w:hAnsi="Times New Roman" w:cs="Times New Roman"/>
          <w:color w:val="auto"/>
          <w:sz w:val="24"/>
          <w:szCs w:val="24"/>
        </w:rPr>
        <w:t>RECORDS</w:t>
      </w:r>
      <w:bookmarkEnd w:id="20"/>
    </w:p>
    <w:p w14:paraId="3B60C078" w14:textId="77777777" w:rsidR="004C6AB8" w:rsidRDefault="00C92185" w:rsidP="00A643F7">
      <w:pPr>
        <w:spacing w:after="0" w:line="240" w:lineRule="auto"/>
        <w:rPr>
          <w:rFonts w:ascii="Times New Roman" w:eastAsia="Calibri" w:hAnsi="Times New Roman" w:cs="Times New Roman"/>
          <w:sz w:val="24"/>
          <w:szCs w:val="24"/>
          <w:lang w:val="en-GB"/>
        </w:rPr>
      </w:pPr>
      <w:r w:rsidRPr="00A643F7">
        <w:rPr>
          <w:rFonts w:ascii="Times New Roman" w:eastAsia="Calibri" w:hAnsi="Times New Roman" w:cs="Times New Roman"/>
          <w:sz w:val="24"/>
          <w:szCs w:val="24"/>
          <w:lang w:val="en-GB"/>
        </w:rPr>
        <w:t xml:space="preserve">           </w:t>
      </w:r>
    </w:p>
    <w:p w14:paraId="578E3F02" w14:textId="7AEAF10A" w:rsidR="004C6AB8" w:rsidRPr="00C41698" w:rsidRDefault="004C6AB8" w:rsidP="00A643F7">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Not applicable</w:t>
      </w:r>
      <w:bookmarkStart w:id="21" w:name="_GoBack"/>
      <w:bookmarkEnd w:id="21"/>
    </w:p>
    <w:p w14:paraId="07142571" w14:textId="68F8DF55" w:rsidR="00F56E8C" w:rsidRPr="002D5ECE" w:rsidRDefault="00C92185" w:rsidP="002D5ECE">
      <w:pPr>
        <w:pStyle w:val="Heading1"/>
        <w:rPr>
          <w:rFonts w:ascii="Times New Roman" w:hAnsi="Times New Roman" w:cs="Times New Roman"/>
          <w:color w:val="auto"/>
          <w:sz w:val="24"/>
          <w:szCs w:val="24"/>
        </w:rPr>
      </w:pPr>
      <w:bookmarkStart w:id="22" w:name="_Toc24978115"/>
      <w:r w:rsidRPr="002D5ECE">
        <w:rPr>
          <w:rFonts w:ascii="Times New Roman" w:hAnsi="Times New Roman" w:cs="Times New Roman"/>
          <w:color w:val="auto"/>
          <w:sz w:val="24"/>
          <w:szCs w:val="24"/>
        </w:rPr>
        <w:t>8</w:t>
      </w:r>
      <w:r w:rsidR="002814FC" w:rsidRPr="002D5ECE">
        <w:rPr>
          <w:rFonts w:ascii="Times New Roman" w:hAnsi="Times New Roman" w:cs="Times New Roman"/>
          <w:color w:val="auto"/>
          <w:sz w:val="24"/>
          <w:szCs w:val="24"/>
        </w:rPr>
        <w:t xml:space="preserve">. </w:t>
      </w:r>
      <w:r w:rsidR="00F56E8C" w:rsidRPr="002D5ECE">
        <w:rPr>
          <w:rFonts w:ascii="Times New Roman" w:hAnsi="Times New Roman" w:cs="Times New Roman"/>
          <w:color w:val="auto"/>
          <w:sz w:val="24"/>
          <w:szCs w:val="24"/>
        </w:rPr>
        <w:t>HISTORY</w:t>
      </w:r>
      <w:bookmarkEnd w:id="22"/>
    </w:p>
    <w:p w14:paraId="2AED213D" w14:textId="77777777" w:rsidR="00F56E8C" w:rsidRPr="00A643F7" w:rsidRDefault="00F56E8C" w:rsidP="00F56E8C">
      <w:pPr>
        <w:spacing w:after="0" w:line="240" w:lineRule="auto"/>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38"/>
        <w:gridCol w:w="4765"/>
      </w:tblGrid>
      <w:tr w:rsidR="00594E2B" w:rsidRPr="00594E2B" w14:paraId="28168571" w14:textId="77777777" w:rsidTr="00841156">
        <w:tc>
          <w:tcPr>
            <w:tcW w:w="1103" w:type="pct"/>
            <w:vAlign w:val="center"/>
          </w:tcPr>
          <w:p w14:paraId="6620FC0C" w14:textId="77777777" w:rsidR="00594E2B" w:rsidRPr="00594E2B" w:rsidRDefault="00594E2B" w:rsidP="00594E2B">
            <w:pPr>
              <w:spacing w:after="0" w:line="240" w:lineRule="auto"/>
              <w:rPr>
                <w:rFonts w:ascii="Times New Roman" w:eastAsia="Times New Roman" w:hAnsi="Times New Roman" w:cs="Shruti"/>
                <w:b/>
                <w:color w:val="000000"/>
                <w:sz w:val="24"/>
                <w:szCs w:val="24"/>
                <w:lang w:val="en-GB" w:bidi="gu-IN"/>
              </w:rPr>
            </w:pPr>
            <w:r w:rsidRPr="00594E2B">
              <w:rPr>
                <w:rFonts w:ascii="Times New Roman" w:eastAsia="Times New Roman" w:hAnsi="Times New Roman" w:cs="Shruti"/>
                <w:b/>
                <w:color w:val="000000"/>
                <w:sz w:val="24"/>
                <w:szCs w:val="24"/>
                <w:lang w:val="en-GB" w:bidi="gu-IN"/>
              </w:rPr>
              <w:t>Date of Edition - day</w:t>
            </w:r>
          </w:p>
        </w:tc>
        <w:tc>
          <w:tcPr>
            <w:tcW w:w="1422" w:type="pct"/>
            <w:vAlign w:val="center"/>
          </w:tcPr>
          <w:p w14:paraId="1A723EDD" w14:textId="77777777" w:rsidR="00594E2B" w:rsidRPr="00594E2B" w:rsidRDefault="00594E2B" w:rsidP="00594E2B">
            <w:pPr>
              <w:spacing w:after="0" w:line="240" w:lineRule="auto"/>
              <w:rPr>
                <w:rFonts w:ascii="Times New Roman" w:eastAsia="Times New Roman" w:hAnsi="Times New Roman" w:cs="Shruti"/>
                <w:b/>
                <w:color w:val="000000"/>
                <w:sz w:val="24"/>
                <w:szCs w:val="24"/>
                <w:lang w:val="en-GB" w:bidi="gu-IN"/>
              </w:rPr>
            </w:pPr>
            <w:r w:rsidRPr="00594E2B">
              <w:rPr>
                <w:rFonts w:ascii="Times New Roman" w:eastAsia="Times New Roman" w:hAnsi="Times New Roman" w:cs="Shruti"/>
                <w:b/>
                <w:color w:val="000000"/>
                <w:sz w:val="24"/>
                <w:szCs w:val="24"/>
                <w:lang w:val="en-GB" w:bidi="gu-IN"/>
              </w:rPr>
              <w:t>Prepared by</w:t>
            </w:r>
          </w:p>
        </w:tc>
        <w:tc>
          <w:tcPr>
            <w:tcW w:w="2475" w:type="pct"/>
            <w:vAlign w:val="center"/>
          </w:tcPr>
          <w:p w14:paraId="2BE26A58" w14:textId="77777777" w:rsidR="00594E2B" w:rsidRPr="00594E2B" w:rsidRDefault="00594E2B" w:rsidP="00594E2B">
            <w:pPr>
              <w:spacing w:after="0" w:line="240" w:lineRule="auto"/>
              <w:rPr>
                <w:rFonts w:ascii="Times New Roman" w:eastAsia="Times New Roman" w:hAnsi="Times New Roman" w:cs="Shruti"/>
                <w:b/>
                <w:color w:val="000000"/>
                <w:sz w:val="24"/>
                <w:szCs w:val="24"/>
                <w:lang w:val="en-GB" w:bidi="gu-IN"/>
              </w:rPr>
            </w:pPr>
            <w:r w:rsidRPr="00594E2B">
              <w:rPr>
                <w:rFonts w:ascii="Times New Roman" w:eastAsia="Times New Roman" w:hAnsi="Times New Roman" w:cs="Shruti"/>
                <w:b/>
                <w:color w:val="000000"/>
                <w:sz w:val="24"/>
                <w:szCs w:val="24"/>
                <w:lang w:val="en-GB" w:bidi="gu-IN"/>
              </w:rPr>
              <w:t xml:space="preserve">Description of applied changes </w:t>
            </w:r>
          </w:p>
        </w:tc>
      </w:tr>
      <w:tr w:rsidR="00594E2B" w:rsidRPr="00594E2B" w14:paraId="02F55056" w14:textId="77777777" w:rsidTr="00841156">
        <w:tc>
          <w:tcPr>
            <w:tcW w:w="1103" w:type="pct"/>
            <w:vAlign w:val="center"/>
          </w:tcPr>
          <w:p w14:paraId="030A00DE" w14:textId="77777777" w:rsidR="00594E2B" w:rsidRPr="00E11619" w:rsidRDefault="00594E2B" w:rsidP="00594E2B">
            <w:pPr>
              <w:spacing w:after="0" w:line="240" w:lineRule="auto"/>
              <w:rPr>
                <w:rFonts w:ascii="Times New Roman" w:hAnsi="Times New Roman" w:cs="Times New Roman"/>
                <w:color w:val="000000" w:themeColor="text1"/>
                <w:sz w:val="24"/>
                <w:szCs w:val="24"/>
                <w:lang w:val="en-GB"/>
              </w:rPr>
            </w:pPr>
            <w:r w:rsidRPr="00E11619">
              <w:rPr>
                <w:rFonts w:ascii="Times New Roman" w:hAnsi="Times New Roman" w:cs="Times New Roman"/>
                <w:color w:val="000000" w:themeColor="text1"/>
                <w:sz w:val="24"/>
                <w:szCs w:val="24"/>
                <w:lang w:val="en-GB"/>
              </w:rPr>
              <w:t>02.12.2015</w:t>
            </w:r>
          </w:p>
        </w:tc>
        <w:tc>
          <w:tcPr>
            <w:tcW w:w="1422" w:type="pct"/>
            <w:vAlign w:val="center"/>
          </w:tcPr>
          <w:p w14:paraId="31CFFCB2" w14:textId="77777777" w:rsidR="00594E2B" w:rsidRPr="00594E2B" w:rsidRDefault="00594E2B" w:rsidP="00594E2B">
            <w:pPr>
              <w:spacing w:after="0" w:line="240" w:lineRule="auto"/>
              <w:rPr>
                <w:rFonts w:ascii="Times New Roman" w:eastAsia="Times New Roman" w:hAnsi="Times New Roman" w:cs="Shruti"/>
                <w:color w:val="000000"/>
                <w:sz w:val="24"/>
                <w:szCs w:val="24"/>
                <w:lang w:val="en-GB" w:bidi="gu-IN"/>
              </w:rPr>
            </w:pPr>
            <w:r w:rsidRPr="00E11619">
              <w:rPr>
                <w:rFonts w:ascii="Times New Roman" w:hAnsi="Times New Roman" w:cs="Times New Roman"/>
                <w:color w:val="000000" w:themeColor="text1"/>
                <w:sz w:val="24"/>
                <w:szCs w:val="24"/>
                <w:lang w:val="en-GB"/>
              </w:rPr>
              <w:t>Ibush  Luzha</w:t>
            </w:r>
          </w:p>
        </w:tc>
        <w:tc>
          <w:tcPr>
            <w:tcW w:w="2475" w:type="pct"/>
            <w:vAlign w:val="center"/>
          </w:tcPr>
          <w:p w14:paraId="131E0D6A" w14:textId="77777777" w:rsidR="00594E2B" w:rsidRPr="00594E2B" w:rsidRDefault="00594E2B" w:rsidP="00594E2B">
            <w:pPr>
              <w:spacing w:after="0" w:line="240" w:lineRule="auto"/>
              <w:rPr>
                <w:rFonts w:ascii="Times New Roman" w:eastAsia="Times New Roman" w:hAnsi="Times New Roman" w:cs="Shruti"/>
                <w:color w:val="000000"/>
                <w:sz w:val="24"/>
                <w:szCs w:val="24"/>
                <w:lang w:val="en-GB" w:bidi="gu-IN"/>
              </w:rPr>
            </w:pPr>
            <w:r w:rsidRPr="00594E2B">
              <w:rPr>
                <w:rFonts w:ascii="Times New Roman" w:eastAsia="Times New Roman" w:hAnsi="Times New Roman" w:cs="Shruti"/>
                <w:color w:val="000000"/>
                <w:sz w:val="24"/>
                <w:szCs w:val="24"/>
                <w:lang w:val="en-GB" w:bidi="gu-IN"/>
              </w:rPr>
              <w:t>New document.</w:t>
            </w:r>
          </w:p>
        </w:tc>
      </w:tr>
      <w:tr w:rsidR="00594E2B" w:rsidRPr="00594E2B" w14:paraId="35A2CB5F" w14:textId="77777777" w:rsidTr="00841156">
        <w:tc>
          <w:tcPr>
            <w:tcW w:w="1103" w:type="pct"/>
            <w:vAlign w:val="center"/>
          </w:tcPr>
          <w:p w14:paraId="1817A8E5" w14:textId="77777777" w:rsidR="00594E2B" w:rsidRPr="004F069E" w:rsidRDefault="00594E2B" w:rsidP="00594E2B">
            <w:pPr>
              <w:spacing w:after="0" w:line="240" w:lineRule="auto"/>
              <w:rPr>
                <w:rFonts w:ascii="Times New Roman" w:hAnsi="Times New Roman" w:cs="Times New Roman"/>
                <w:color w:val="000000" w:themeColor="text1"/>
                <w:sz w:val="24"/>
                <w:szCs w:val="24"/>
                <w:lang w:val="en-GB"/>
              </w:rPr>
            </w:pPr>
            <w:r w:rsidRPr="004F069E">
              <w:rPr>
                <w:rFonts w:ascii="Times New Roman" w:hAnsi="Times New Roman" w:cs="Times New Roman"/>
                <w:color w:val="000000" w:themeColor="text1"/>
                <w:sz w:val="24"/>
                <w:szCs w:val="24"/>
                <w:lang w:val="en-GB"/>
              </w:rPr>
              <w:t>11.03.2016</w:t>
            </w:r>
          </w:p>
        </w:tc>
        <w:tc>
          <w:tcPr>
            <w:tcW w:w="1422" w:type="pct"/>
            <w:vAlign w:val="center"/>
          </w:tcPr>
          <w:p w14:paraId="5EB70EC4" w14:textId="77777777" w:rsidR="00594E2B" w:rsidRPr="00594E2B" w:rsidRDefault="00594E2B" w:rsidP="00594E2B">
            <w:pPr>
              <w:spacing w:after="0" w:line="240" w:lineRule="auto"/>
              <w:rPr>
                <w:rFonts w:ascii="Times New Roman" w:eastAsia="Times New Roman" w:hAnsi="Times New Roman" w:cs="Shruti"/>
                <w:color w:val="000000"/>
                <w:sz w:val="24"/>
                <w:szCs w:val="24"/>
                <w:lang w:val="en-GB" w:bidi="gu-IN"/>
              </w:rPr>
            </w:pPr>
            <w:r w:rsidRPr="00E11619">
              <w:rPr>
                <w:rFonts w:ascii="Times New Roman" w:hAnsi="Times New Roman" w:cs="Times New Roman"/>
                <w:color w:val="000000" w:themeColor="text1"/>
                <w:sz w:val="24"/>
                <w:szCs w:val="24"/>
                <w:lang w:val="en-GB"/>
              </w:rPr>
              <w:t>Ibush  Luzha</w:t>
            </w:r>
          </w:p>
        </w:tc>
        <w:tc>
          <w:tcPr>
            <w:tcW w:w="2475" w:type="pct"/>
            <w:vAlign w:val="center"/>
          </w:tcPr>
          <w:p w14:paraId="2FBE612D" w14:textId="77777777" w:rsidR="00594E2B" w:rsidRPr="00594E2B" w:rsidRDefault="00594E2B" w:rsidP="00594E2B">
            <w:pPr>
              <w:spacing w:after="0" w:line="240" w:lineRule="auto"/>
              <w:rPr>
                <w:rFonts w:ascii="Times New Roman" w:eastAsia="Times New Roman" w:hAnsi="Times New Roman" w:cs="Shruti"/>
                <w:color w:val="000000"/>
                <w:sz w:val="24"/>
                <w:szCs w:val="24"/>
                <w:lang w:val="en-GB" w:bidi="gu-IN"/>
              </w:rPr>
            </w:pPr>
            <w:r w:rsidRPr="00594E2B">
              <w:rPr>
                <w:rFonts w:ascii="Times New Roman" w:eastAsia="Times New Roman" w:hAnsi="Times New Roman" w:cs="Shruti"/>
                <w:iCs/>
                <w:sz w:val="24"/>
                <w:szCs w:val="24"/>
                <w:lang w:val="en-US" w:bidi="gu-IN"/>
              </w:rPr>
              <w:t xml:space="preserve">Article </w:t>
            </w:r>
            <w:r>
              <w:rPr>
                <w:rFonts w:asciiTheme="majorBidi" w:hAnsiTheme="majorBidi" w:cstheme="majorBidi"/>
                <w:color w:val="000000" w:themeColor="text1"/>
                <w:sz w:val="24"/>
                <w:szCs w:val="24"/>
                <w:lang w:val="en-GB"/>
              </w:rPr>
              <w:t xml:space="preserve">3.1.1; </w:t>
            </w:r>
            <w:r w:rsidRPr="004F069E">
              <w:rPr>
                <w:rFonts w:asciiTheme="majorBidi" w:hAnsiTheme="majorBidi" w:cstheme="majorBidi"/>
                <w:color w:val="000000" w:themeColor="text1"/>
                <w:sz w:val="24"/>
                <w:szCs w:val="24"/>
                <w:lang w:val="en-GB"/>
              </w:rPr>
              <w:t>3.1.2; 3.1.3</w:t>
            </w:r>
          </w:p>
        </w:tc>
      </w:tr>
      <w:tr w:rsidR="00594E2B" w:rsidRPr="00594E2B" w14:paraId="47BC758C" w14:textId="77777777" w:rsidTr="00841156">
        <w:tc>
          <w:tcPr>
            <w:tcW w:w="1103" w:type="pct"/>
            <w:vAlign w:val="center"/>
          </w:tcPr>
          <w:p w14:paraId="4160D50D" w14:textId="2BF39B69" w:rsidR="00594E2B" w:rsidRPr="00594E2B" w:rsidRDefault="00D4666C" w:rsidP="00594E2B">
            <w:pPr>
              <w:spacing w:after="0" w:line="240" w:lineRule="auto"/>
              <w:rPr>
                <w:rFonts w:ascii="Times New Roman" w:eastAsia="Times New Roman" w:hAnsi="Times New Roman" w:cs="Shruti"/>
                <w:color w:val="0070C0"/>
                <w:sz w:val="24"/>
                <w:szCs w:val="24"/>
                <w:lang w:val="en-GB" w:bidi="gu-IN"/>
              </w:rPr>
            </w:pPr>
            <w:r>
              <w:rPr>
                <w:rFonts w:ascii="Times New Roman" w:eastAsia="Times New Roman" w:hAnsi="Times New Roman" w:cs="Shruti"/>
                <w:color w:val="0070C0"/>
                <w:sz w:val="24"/>
                <w:szCs w:val="24"/>
                <w:lang w:val="en-GB" w:bidi="gu-IN"/>
              </w:rPr>
              <w:t>15.</w:t>
            </w:r>
            <w:r w:rsidR="0021437D" w:rsidRPr="004C6AB8">
              <w:rPr>
                <w:rFonts w:ascii="Times New Roman" w:eastAsia="Times New Roman" w:hAnsi="Times New Roman" w:cs="Shruti"/>
                <w:color w:val="0070C0"/>
                <w:sz w:val="24"/>
                <w:szCs w:val="24"/>
                <w:lang w:val="en-GB" w:bidi="gu-IN"/>
              </w:rPr>
              <w:t>1</w:t>
            </w:r>
            <w:r>
              <w:rPr>
                <w:rFonts w:ascii="Times New Roman" w:eastAsia="Times New Roman" w:hAnsi="Times New Roman" w:cs="Shruti"/>
                <w:color w:val="0070C0"/>
                <w:sz w:val="24"/>
                <w:szCs w:val="24"/>
                <w:lang w:val="en-GB" w:bidi="gu-IN"/>
              </w:rPr>
              <w:t>1</w:t>
            </w:r>
            <w:r w:rsidR="00594E2B" w:rsidRPr="004C6AB8">
              <w:rPr>
                <w:rFonts w:ascii="Times New Roman" w:eastAsia="Times New Roman" w:hAnsi="Times New Roman" w:cs="Shruti"/>
                <w:color w:val="0070C0"/>
                <w:sz w:val="24"/>
                <w:szCs w:val="24"/>
                <w:lang w:val="en-GB" w:bidi="gu-IN"/>
              </w:rPr>
              <w:t>.2019</w:t>
            </w:r>
          </w:p>
        </w:tc>
        <w:tc>
          <w:tcPr>
            <w:tcW w:w="1422" w:type="pct"/>
            <w:vAlign w:val="center"/>
          </w:tcPr>
          <w:p w14:paraId="3ADA2FE3" w14:textId="77777777" w:rsidR="00594E2B" w:rsidRPr="00594E2B" w:rsidRDefault="0021437D" w:rsidP="00594E2B">
            <w:pPr>
              <w:spacing w:after="0" w:line="240" w:lineRule="auto"/>
              <w:rPr>
                <w:rFonts w:ascii="Times New Roman" w:eastAsia="Times New Roman" w:hAnsi="Times New Roman" w:cs="Shruti"/>
                <w:color w:val="0070C0"/>
                <w:sz w:val="24"/>
                <w:szCs w:val="24"/>
                <w:lang w:val="en-GB" w:bidi="gu-IN"/>
              </w:rPr>
            </w:pPr>
            <w:r>
              <w:rPr>
                <w:rFonts w:ascii="Times New Roman" w:eastAsia="Times New Roman" w:hAnsi="Times New Roman" w:cs="Shruti"/>
                <w:color w:val="0070C0"/>
                <w:sz w:val="24"/>
                <w:szCs w:val="24"/>
                <w:lang w:val="en-GB" w:bidi="gu-IN"/>
              </w:rPr>
              <w:t>Valmira Sejdiu</w:t>
            </w:r>
          </w:p>
        </w:tc>
        <w:tc>
          <w:tcPr>
            <w:tcW w:w="2475" w:type="pct"/>
            <w:vAlign w:val="center"/>
          </w:tcPr>
          <w:p w14:paraId="5F6BDAF9" w14:textId="77777777" w:rsidR="00594E2B" w:rsidRPr="00594E2B" w:rsidRDefault="00594E2B" w:rsidP="00594E2B">
            <w:pPr>
              <w:spacing w:after="0" w:line="240" w:lineRule="auto"/>
              <w:rPr>
                <w:rFonts w:ascii="Times New Roman" w:eastAsia="Times New Roman" w:hAnsi="Times New Roman" w:cs="Shruti"/>
                <w:color w:val="0070C0"/>
                <w:sz w:val="24"/>
                <w:szCs w:val="24"/>
                <w:lang w:val="en-US" w:bidi="gu-IN"/>
              </w:rPr>
            </w:pPr>
            <w:r w:rsidRPr="00594E2B">
              <w:rPr>
                <w:rFonts w:ascii="Times New Roman" w:eastAsia="Times New Roman" w:hAnsi="Times New Roman" w:cs="Shruti"/>
                <w:color w:val="0070C0"/>
                <w:sz w:val="24"/>
                <w:szCs w:val="24"/>
                <w:lang w:val="en-US" w:bidi="gu-IN"/>
              </w:rPr>
              <w:t>Full revision to align with ISO/IEC 17011:2017</w:t>
            </w:r>
            <w:r w:rsidR="00DE5B31">
              <w:rPr>
                <w:rFonts w:ascii="Times New Roman" w:eastAsia="Times New Roman" w:hAnsi="Times New Roman" w:cs="Shruti"/>
                <w:color w:val="0070C0"/>
                <w:sz w:val="24"/>
                <w:szCs w:val="24"/>
                <w:lang w:val="en-US" w:bidi="gu-IN"/>
              </w:rPr>
              <w:t xml:space="preserve"> and DAK-PM-01</w:t>
            </w:r>
          </w:p>
        </w:tc>
      </w:tr>
    </w:tbl>
    <w:p w14:paraId="23F655B3" w14:textId="77777777" w:rsidR="00F56E8C" w:rsidRPr="00F56E8C" w:rsidRDefault="00F56E8C" w:rsidP="00F56E8C">
      <w:pPr>
        <w:rPr>
          <w:lang w:val="en-GB"/>
        </w:rPr>
      </w:pPr>
    </w:p>
    <w:p w14:paraId="3C4285B3" w14:textId="77777777" w:rsidR="00DE678A" w:rsidRPr="00DE678A" w:rsidRDefault="00DE678A" w:rsidP="00DE678A">
      <w:pPr>
        <w:spacing w:after="0" w:line="240" w:lineRule="auto"/>
        <w:jc w:val="both"/>
        <w:rPr>
          <w:rFonts w:ascii="Times New Roman" w:eastAsia="Calibri" w:hAnsi="Times New Roman" w:cs="Times New Roman"/>
          <w:bCs/>
          <w:color w:val="000000" w:themeColor="text1"/>
          <w:sz w:val="24"/>
          <w:szCs w:val="24"/>
          <w:lang w:val="en-GB"/>
        </w:rPr>
      </w:pPr>
    </w:p>
    <w:p w14:paraId="5F0FFD6A" w14:textId="77777777" w:rsidR="00DE678A" w:rsidRPr="00DE678A" w:rsidRDefault="00DE678A" w:rsidP="00DE678A">
      <w:pPr>
        <w:rPr>
          <w:lang w:val="en-GB"/>
        </w:rPr>
      </w:pPr>
    </w:p>
    <w:p w14:paraId="0379C01A" w14:textId="77777777" w:rsidR="00A24952" w:rsidRPr="00DE678A" w:rsidRDefault="005D6D40" w:rsidP="00DE678A">
      <w:pPr>
        <w:pStyle w:val="Heading1"/>
        <w:tabs>
          <w:tab w:val="left" w:pos="567"/>
        </w:tabs>
        <w:spacing w:before="0" w:line="240" w:lineRule="auto"/>
        <w:rPr>
          <w:rFonts w:ascii="Times New Roman" w:hAnsi="Times New Roman" w:cs="Times New Roman"/>
          <w:color w:val="000000" w:themeColor="text1"/>
          <w:sz w:val="24"/>
          <w:szCs w:val="24"/>
          <w:lang w:val="en-GB"/>
        </w:rPr>
      </w:pPr>
      <w:r w:rsidRPr="00DE678A">
        <w:rPr>
          <w:rFonts w:ascii="Times New Roman" w:hAnsi="Times New Roman" w:cs="Times New Roman"/>
          <w:color w:val="000000" w:themeColor="text1"/>
          <w:sz w:val="24"/>
          <w:szCs w:val="24"/>
          <w:lang w:val="en-GB"/>
        </w:rPr>
        <w:t xml:space="preserve"> </w:t>
      </w:r>
    </w:p>
    <w:sectPr w:rsidR="00A24952" w:rsidRPr="00DE678A" w:rsidSect="00D33053">
      <w:footerReference w:type="default" r:id="rId9"/>
      <w:pgSz w:w="11906" w:h="16838" w:code="9"/>
      <w:pgMar w:top="851" w:right="851" w:bottom="851"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246BA" w16cid:durableId="21765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726A8" w14:textId="77777777" w:rsidR="00271D89" w:rsidRDefault="00271D89" w:rsidP="00905279">
      <w:pPr>
        <w:spacing w:after="0" w:line="240" w:lineRule="auto"/>
      </w:pPr>
      <w:r>
        <w:separator/>
      </w:r>
    </w:p>
  </w:endnote>
  <w:endnote w:type="continuationSeparator" w:id="0">
    <w:p w14:paraId="7F724E21" w14:textId="77777777" w:rsidR="00271D89" w:rsidRDefault="00271D89"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2"/>
    </w:tblGrid>
    <w:tr w:rsidR="00230980" w:rsidRPr="00D06170" w14:paraId="2D1446C8" w14:textId="77777777" w:rsidTr="00DA561B">
      <w:tc>
        <w:tcPr>
          <w:tcW w:w="4926" w:type="dxa"/>
        </w:tcPr>
        <w:p w14:paraId="1217BD47" w14:textId="3B9DE249" w:rsidR="00230980" w:rsidRPr="000C2300" w:rsidRDefault="001E5EB7" w:rsidP="00D61C07">
          <w:pPr>
            <w:pStyle w:val="Footer"/>
            <w:rPr>
              <w:rFonts w:asciiTheme="majorBidi" w:hAnsiTheme="majorBidi" w:cstheme="majorBidi"/>
              <w:b/>
              <w:bCs/>
              <w:sz w:val="18"/>
              <w:szCs w:val="18"/>
              <w:lang w:val="en-CA"/>
            </w:rPr>
          </w:pPr>
          <w:r w:rsidRPr="000C2300">
            <w:rPr>
              <w:rFonts w:asciiTheme="majorBidi" w:hAnsiTheme="majorBidi" w:cstheme="majorBidi"/>
              <w:b/>
              <w:bCs/>
              <w:sz w:val="18"/>
              <w:szCs w:val="18"/>
              <w:lang w:val="en-GB"/>
            </w:rPr>
            <w:t>DAK-PO-0</w:t>
          </w:r>
          <w:r w:rsidR="00BF7A60" w:rsidRPr="000C2300">
            <w:rPr>
              <w:rFonts w:asciiTheme="majorBidi" w:hAnsiTheme="majorBidi" w:cstheme="majorBidi"/>
              <w:b/>
              <w:bCs/>
              <w:sz w:val="18"/>
              <w:szCs w:val="18"/>
              <w:lang w:val="en-GB"/>
            </w:rPr>
            <w:t>2-</w:t>
          </w:r>
          <w:r w:rsidR="00230980" w:rsidRPr="000C2300">
            <w:rPr>
              <w:rFonts w:asciiTheme="majorBidi" w:hAnsiTheme="majorBidi" w:cstheme="majorBidi"/>
              <w:b/>
              <w:bCs/>
              <w:sz w:val="18"/>
              <w:szCs w:val="18"/>
              <w:lang w:val="en-GB"/>
            </w:rPr>
            <w:t xml:space="preserve"> </w:t>
          </w:r>
          <w:r w:rsidR="00230980" w:rsidRPr="000C2300">
            <w:rPr>
              <w:rFonts w:asciiTheme="majorBidi" w:hAnsiTheme="majorBidi" w:cstheme="majorBidi"/>
              <w:b/>
              <w:bCs/>
              <w:sz w:val="18"/>
              <w:szCs w:val="18"/>
              <w:lang w:val="en-CA"/>
            </w:rPr>
            <w:t xml:space="preserve">Policy on </w:t>
          </w:r>
          <w:r w:rsidR="00D4666C">
            <w:rPr>
              <w:rFonts w:asciiTheme="majorBidi" w:hAnsiTheme="majorBidi" w:cstheme="majorBidi"/>
              <w:b/>
              <w:bCs/>
              <w:sz w:val="18"/>
              <w:szCs w:val="18"/>
              <w:lang w:val="en-CA"/>
            </w:rPr>
            <w:t>A</w:t>
          </w:r>
          <w:r w:rsidR="00230980" w:rsidRPr="000C2300">
            <w:rPr>
              <w:rFonts w:asciiTheme="majorBidi" w:hAnsiTheme="majorBidi" w:cstheme="majorBidi"/>
              <w:b/>
              <w:bCs/>
              <w:sz w:val="18"/>
              <w:szCs w:val="18"/>
              <w:lang w:val="en-CA"/>
            </w:rPr>
            <w:t>ssessment</w:t>
          </w:r>
        </w:p>
        <w:p w14:paraId="33C50FDB" w14:textId="70204D38" w:rsidR="00230980" w:rsidRPr="000C2300" w:rsidRDefault="00230980" w:rsidP="004526D5">
          <w:pPr>
            <w:pStyle w:val="Footer"/>
            <w:rPr>
              <w:rFonts w:asciiTheme="majorBidi" w:hAnsiTheme="majorBidi" w:cstheme="majorBidi"/>
              <w:sz w:val="18"/>
              <w:szCs w:val="18"/>
              <w:lang w:val="en-GB"/>
            </w:rPr>
          </w:pPr>
          <w:r w:rsidRPr="000C2300">
            <w:rPr>
              <w:rFonts w:asciiTheme="majorBidi" w:hAnsiTheme="majorBidi" w:cstheme="majorBidi"/>
              <w:sz w:val="18"/>
              <w:szCs w:val="18"/>
              <w:lang w:val="en-GB"/>
            </w:rPr>
            <w:t xml:space="preserve"> Edition </w:t>
          </w:r>
          <w:r w:rsidR="00594E2B" w:rsidRPr="00A643F7">
            <w:rPr>
              <w:rFonts w:asciiTheme="majorBidi" w:hAnsiTheme="majorBidi" w:cstheme="majorBidi"/>
              <w:sz w:val="18"/>
              <w:szCs w:val="18"/>
              <w:lang w:val="en-GB"/>
            </w:rPr>
            <w:t>3</w:t>
          </w:r>
          <w:r w:rsidRPr="00A643F7">
            <w:rPr>
              <w:rFonts w:asciiTheme="majorBidi" w:hAnsiTheme="majorBidi" w:cstheme="majorBidi"/>
              <w:sz w:val="18"/>
              <w:szCs w:val="18"/>
              <w:lang w:val="en-GB"/>
            </w:rPr>
            <w:t xml:space="preserve"> of </w:t>
          </w:r>
          <w:r w:rsidR="00F46A3F">
            <w:rPr>
              <w:rFonts w:asciiTheme="majorBidi" w:hAnsiTheme="majorBidi" w:cstheme="majorBidi"/>
              <w:sz w:val="18"/>
              <w:szCs w:val="18"/>
              <w:lang w:val="en-GB"/>
            </w:rPr>
            <w:t>15.</w:t>
          </w:r>
          <w:r w:rsidR="000C2300" w:rsidRPr="00A643F7">
            <w:rPr>
              <w:rFonts w:asciiTheme="majorBidi" w:hAnsiTheme="majorBidi" w:cstheme="majorBidi"/>
              <w:sz w:val="18"/>
              <w:szCs w:val="18"/>
              <w:lang w:val="en-GB"/>
            </w:rPr>
            <w:t>1</w:t>
          </w:r>
          <w:r w:rsidR="00F46A3F">
            <w:rPr>
              <w:rFonts w:asciiTheme="majorBidi" w:hAnsiTheme="majorBidi" w:cstheme="majorBidi"/>
              <w:sz w:val="18"/>
              <w:szCs w:val="18"/>
              <w:lang w:val="en-GB"/>
            </w:rPr>
            <w:t>1</w:t>
          </w:r>
          <w:r w:rsidRPr="00A643F7">
            <w:rPr>
              <w:rFonts w:asciiTheme="majorBidi" w:hAnsiTheme="majorBidi" w:cstheme="majorBidi"/>
              <w:sz w:val="18"/>
              <w:szCs w:val="18"/>
              <w:lang w:val="en-GB"/>
            </w:rPr>
            <w:t>.2019</w:t>
          </w:r>
        </w:p>
        <w:p w14:paraId="29FE0DD7" w14:textId="77777777" w:rsidR="00230980" w:rsidRPr="000C2300" w:rsidRDefault="00230980" w:rsidP="00773F70">
          <w:pPr>
            <w:rPr>
              <w:rFonts w:asciiTheme="majorBidi" w:hAnsiTheme="majorBidi" w:cstheme="majorBidi"/>
              <w:sz w:val="18"/>
              <w:szCs w:val="18"/>
              <w:lang w:val="en-GB"/>
            </w:rPr>
          </w:pPr>
        </w:p>
      </w:tc>
      <w:tc>
        <w:tcPr>
          <w:tcW w:w="4927" w:type="dxa"/>
        </w:tcPr>
        <w:sdt>
          <w:sdtPr>
            <w:rPr>
              <w:rFonts w:ascii="Times New Roman" w:hAnsi="Times New Roman" w:cs="Times New Roman"/>
              <w:sz w:val="16"/>
              <w:szCs w:val="16"/>
              <w:lang w:val="en-GB"/>
            </w:rPr>
            <w:id w:val="250395305"/>
            <w:docPartObj>
              <w:docPartGallery w:val="Page Numbers (Top of Page)"/>
              <w:docPartUnique/>
            </w:docPartObj>
          </w:sdtPr>
          <w:sdtEndPr/>
          <w:sdtContent>
            <w:p w14:paraId="1265BD50" w14:textId="77777777" w:rsidR="00230980" w:rsidRPr="00A643F7" w:rsidRDefault="00230980" w:rsidP="00D06170">
              <w:pPr>
                <w:jc w:val="right"/>
                <w:rPr>
                  <w:rFonts w:ascii="Times New Roman" w:hAnsi="Times New Roman" w:cs="Times New Roman"/>
                  <w:sz w:val="16"/>
                  <w:szCs w:val="16"/>
                  <w:lang w:val="en-GB"/>
                </w:rPr>
              </w:pPr>
              <w:r w:rsidRPr="000C2300">
                <w:rPr>
                  <w:rFonts w:ascii="Times New Roman" w:hAnsi="Times New Roman" w:cs="Times New Roman"/>
                  <w:sz w:val="16"/>
                  <w:szCs w:val="16"/>
                  <w:lang w:val="en-GB"/>
                </w:rPr>
                <w:t xml:space="preserve">Page </w:t>
              </w:r>
              <w:r w:rsidRPr="000C2300">
                <w:rPr>
                  <w:rFonts w:ascii="Times New Roman" w:hAnsi="Times New Roman" w:cs="Times New Roman"/>
                  <w:sz w:val="16"/>
                  <w:szCs w:val="16"/>
                  <w:lang w:val="en-GB"/>
                </w:rPr>
                <w:fldChar w:fldCharType="begin"/>
              </w:r>
              <w:r w:rsidRPr="000C2300">
                <w:rPr>
                  <w:rFonts w:ascii="Times New Roman" w:hAnsi="Times New Roman" w:cs="Times New Roman"/>
                  <w:sz w:val="16"/>
                  <w:szCs w:val="16"/>
                  <w:lang w:val="en-GB"/>
                </w:rPr>
                <w:instrText xml:space="preserve"> PAGE </w:instrText>
              </w:r>
              <w:r w:rsidRPr="00A643F7">
                <w:rPr>
                  <w:rFonts w:ascii="Times New Roman" w:hAnsi="Times New Roman" w:cs="Times New Roman"/>
                  <w:sz w:val="16"/>
                  <w:szCs w:val="16"/>
                  <w:lang w:val="en-GB"/>
                </w:rPr>
                <w:fldChar w:fldCharType="separate"/>
              </w:r>
              <w:r w:rsidR="00C41698">
                <w:rPr>
                  <w:rFonts w:ascii="Times New Roman" w:hAnsi="Times New Roman" w:cs="Times New Roman"/>
                  <w:noProof/>
                  <w:sz w:val="16"/>
                  <w:szCs w:val="16"/>
                  <w:lang w:val="en-GB"/>
                </w:rPr>
                <w:t>7</w:t>
              </w:r>
              <w:r w:rsidRPr="00A643F7">
                <w:rPr>
                  <w:rFonts w:ascii="Times New Roman" w:hAnsi="Times New Roman" w:cs="Times New Roman"/>
                  <w:sz w:val="16"/>
                  <w:szCs w:val="16"/>
                  <w:lang w:val="en-GB"/>
                </w:rPr>
                <w:fldChar w:fldCharType="end"/>
              </w:r>
              <w:r w:rsidRPr="000C2300">
                <w:rPr>
                  <w:rFonts w:ascii="Times New Roman" w:hAnsi="Times New Roman" w:cs="Times New Roman"/>
                  <w:sz w:val="16"/>
                  <w:szCs w:val="16"/>
                  <w:lang w:val="en-GB"/>
                </w:rPr>
                <w:t xml:space="preserve"> of </w:t>
              </w:r>
              <w:r w:rsidRPr="000C2300">
                <w:rPr>
                  <w:rFonts w:ascii="Times New Roman" w:hAnsi="Times New Roman" w:cs="Times New Roman"/>
                  <w:sz w:val="16"/>
                  <w:szCs w:val="16"/>
                  <w:lang w:val="en-GB"/>
                </w:rPr>
                <w:fldChar w:fldCharType="begin"/>
              </w:r>
              <w:r w:rsidRPr="000C2300">
                <w:rPr>
                  <w:rFonts w:ascii="Times New Roman" w:hAnsi="Times New Roman" w:cs="Times New Roman"/>
                  <w:sz w:val="16"/>
                  <w:szCs w:val="16"/>
                  <w:lang w:val="en-GB"/>
                </w:rPr>
                <w:instrText xml:space="preserve"> NUMPAGES  </w:instrText>
              </w:r>
              <w:r w:rsidRPr="00A643F7">
                <w:rPr>
                  <w:rFonts w:ascii="Times New Roman" w:hAnsi="Times New Roman" w:cs="Times New Roman"/>
                  <w:sz w:val="16"/>
                  <w:szCs w:val="16"/>
                  <w:lang w:val="en-GB"/>
                </w:rPr>
                <w:fldChar w:fldCharType="separate"/>
              </w:r>
              <w:r w:rsidR="00C41698">
                <w:rPr>
                  <w:rFonts w:ascii="Times New Roman" w:hAnsi="Times New Roman" w:cs="Times New Roman"/>
                  <w:noProof/>
                  <w:sz w:val="16"/>
                  <w:szCs w:val="16"/>
                  <w:lang w:val="en-GB"/>
                </w:rPr>
                <w:t>7</w:t>
              </w:r>
              <w:r w:rsidRPr="00A643F7">
                <w:rPr>
                  <w:rFonts w:ascii="Times New Roman" w:hAnsi="Times New Roman" w:cs="Times New Roman"/>
                  <w:sz w:val="16"/>
                  <w:szCs w:val="16"/>
                  <w:lang w:val="en-GB"/>
                </w:rPr>
                <w:fldChar w:fldCharType="end"/>
              </w:r>
            </w:p>
          </w:sdtContent>
        </w:sdt>
        <w:p w14:paraId="641C4F1F" w14:textId="77777777" w:rsidR="00230980" w:rsidRPr="00D06170" w:rsidRDefault="00230980">
          <w:pPr>
            <w:pStyle w:val="Footer"/>
            <w:rPr>
              <w:rFonts w:ascii="Times New Roman" w:hAnsi="Times New Roman" w:cs="Times New Roman"/>
              <w:sz w:val="16"/>
              <w:szCs w:val="16"/>
              <w:lang w:val="en-GB"/>
            </w:rPr>
          </w:pPr>
        </w:p>
      </w:tc>
    </w:tr>
  </w:tbl>
  <w:p w14:paraId="7DEC3D6B" w14:textId="77777777" w:rsidR="00230980" w:rsidRDefault="00230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7E13D" w14:textId="77777777" w:rsidR="00271D89" w:rsidRDefault="00271D89" w:rsidP="00905279">
      <w:pPr>
        <w:spacing w:after="0" w:line="240" w:lineRule="auto"/>
      </w:pPr>
      <w:r>
        <w:separator/>
      </w:r>
    </w:p>
  </w:footnote>
  <w:footnote w:type="continuationSeparator" w:id="0">
    <w:p w14:paraId="49E43E16" w14:textId="77777777" w:rsidR="00271D89" w:rsidRDefault="00271D89" w:rsidP="00905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A9B"/>
    <w:multiLevelType w:val="multilevel"/>
    <w:tmpl w:val="DC9267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05FDB"/>
    <w:multiLevelType w:val="hybridMultilevel"/>
    <w:tmpl w:val="360A6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74433"/>
    <w:multiLevelType w:val="hybridMultilevel"/>
    <w:tmpl w:val="28CEC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34B07"/>
    <w:multiLevelType w:val="multilevel"/>
    <w:tmpl w:val="FF8059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3F3C29"/>
    <w:multiLevelType w:val="hybridMultilevel"/>
    <w:tmpl w:val="74BCF3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82E11"/>
    <w:multiLevelType w:val="hybridMultilevel"/>
    <w:tmpl w:val="BCEAF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75A08"/>
    <w:multiLevelType w:val="multilevel"/>
    <w:tmpl w:val="43463A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C51158"/>
    <w:multiLevelType w:val="hybridMultilevel"/>
    <w:tmpl w:val="108E61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23F364E9"/>
    <w:multiLevelType w:val="hybridMultilevel"/>
    <w:tmpl w:val="F30A581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28075FA7"/>
    <w:multiLevelType w:val="hybridMultilevel"/>
    <w:tmpl w:val="D69CD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744D2"/>
    <w:multiLevelType w:val="hybridMultilevel"/>
    <w:tmpl w:val="D040BF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373E76DB"/>
    <w:multiLevelType w:val="hybridMultilevel"/>
    <w:tmpl w:val="F8F2FE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nsid w:val="37E17E49"/>
    <w:multiLevelType w:val="hybridMultilevel"/>
    <w:tmpl w:val="2764A2EC"/>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8391552"/>
    <w:multiLevelType w:val="hybridMultilevel"/>
    <w:tmpl w:val="3DCC0F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E3A6E8A"/>
    <w:multiLevelType w:val="hybridMultilevel"/>
    <w:tmpl w:val="5428D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F7BE0"/>
    <w:multiLevelType w:val="multilevel"/>
    <w:tmpl w:val="137E488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DA3E92"/>
    <w:multiLevelType w:val="hybridMultilevel"/>
    <w:tmpl w:val="5D26FF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458A7B34"/>
    <w:multiLevelType w:val="multilevel"/>
    <w:tmpl w:val="986276F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811022"/>
    <w:multiLevelType w:val="hybridMultilevel"/>
    <w:tmpl w:val="5A54A4DC"/>
    <w:lvl w:ilvl="0" w:tplc="CFB84FAE">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A682C32"/>
    <w:multiLevelType w:val="multilevel"/>
    <w:tmpl w:val="74F8DE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16782D"/>
    <w:multiLevelType w:val="hybridMultilevel"/>
    <w:tmpl w:val="A2785400"/>
    <w:lvl w:ilvl="0" w:tplc="BF7A2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C48DF"/>
    <w:multiLevelType w:val="multilevel"/>
    <w:tmpl w:val="B176A8E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B22F3B"/>
    <w:multiLevelType w:val="hybridMultilevel"/>
    <w:tmpl w:val="63E603E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047AE"/>
    <w:multiLevelType w:val="hybridMultilevel"/>
    <w:tmpl w:val="3760E308"/>
    <w:lvl w:ilvl="0" w:tplc="CFB84FAE">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3EB1E5D"/>
    <w:multiLevelType w:val="hybridMultilevel"/>
    <w:tmpl w:val="239098FC"/>
    <w:lvl w:ilvl="0" w:tplc="9F6098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62D38"/>
    <w:multiLevelType w:val="hybridMultilevel"/>
    <w:tmpl w:val="DEBEB7B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5A291302"/>
    <w:multiLevelType w:val="hybridMultilevel"/>
    <w:tmpl w:val="D85CDAC2"/>
    <w:lvl w:ilvl="0" w:tplc="7D1076B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C1309"/>
    <w:multiLevelType w:val="multilevel"/>
    <w:tmpl w:val="B580885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CC64D1"/>
    <w:multiLevelType w:val="hybridMultilevel"/>
    <w:tmpl w:val="F4169C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EE34533"/>
    <w:multiLevelType w:val="hybridMultilevel"/>
    <w:tmpl w:val="06540CDA"/>
    <w:lvl w:ilvl="0" w:tplc="9862966C">
      <w:start w:val="1"/>
      <w:numFmt w:val="bullet"/>
      <w:lvlText w:val=""/>
      <w:lvlJc w:val="left"/>
      <w:pPr>
        <w:tabs>
          <w:tab w:val="num" w:pos="720"/>
        </w:tabs>
        <w:ind w:left="720" w:hanging="360"/>
      </w:pPr>
      <w:rPr>
        <w:rFonts w:ascii="Symbol" w:hAnsi="Symbol" w:hint="default"/>
        <w:color w:val="00206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F0355B"/>
    <w:multiLevelType w:val="hybridMultilevel"/>
    <w:tmpl w:val="21D8D026"/>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1">
    <w:nsid w:val="6F65502E"/>
    <w:multiLevelType w:val="hybridMultilevel"/>
    <w:tmpl w:val="5E16C8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nsid w:val="7090219F"/>
    <w:multiLevelType w:val="hybridMultilevel"/>
    <w:tmpl w:val="4B6A708A"/>
    <w:lvl w:ilvl="0" w:tplc="1736E38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3D5D8D"/>
    <w:multiLevelType w:val="hybridMultilevel"/>
    <w:tmpl w:val="76FE480E"/>
    <w:lvl w:ilvl="0" w:tplc="CFB84FAE">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CAE5FCA"/>
    <w:multiLevelType w:val="hybridMultilevel"/>
    <w:tmpl w:val="0B0C1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
  </w:num>
  <w:num w:numId="4">
    <w:abstractNumId w:val="0"/>
  </w:num>
  <w:num w:numId="5">
    <w:abstractNumId w:val="27"/>
  </w:num>
  <w:num w:numId="6">
    <w:abstractNumId w:val="32"/>
  </w:num>
  <w:num w:numId="7">
    <w:abstractNumId w:val="9"/>
  </w:num>
  <w:num w:numId="8">
    <w:abstractNumId w:val="5"/>
  </w:num>
  <w:num w:numId="9">
    <w:abstractNumId w:val="34"/>
  </w:num>
  <w:num w:numId="10">
    <w:abstractNumId w:val="24"/>
  </w:num>
  <w:num w:numId="11">
    <w:abstractNumId w:val="15"/>
  </w:num>
  <w:num w:numId="12">
    <w:abstractNumId w:val="2"/>
  </w:num>
  <w:num w:numId="13">
    <w:abstractNumId w:val="26"/>
  </w:num>
  <w:num w:numId="14">
    <w:abstractNumId w:val="14"/>
  </w:num>
  <w:num w:numId="15">
    <w:abstractNumId w:val="12"/>
  </w:num>
  <w:num w:numId="16">
    <w:abstractNumId w:val="23"/>
  </w:num>
  <w:num w:numId="17">
    <w:abstractNumId w:val="13"/>
  </w:num>
  <w:num w:numId="18">
    <w:abstractNumId w:val="3"/>
  </w:num>
  <w:num w:numId="19">
    <w:abstractNumId w:val="6"/>
  </w:num>
  <w:num w:numId="20">
    <w:abstractNumId w:val="19"/>
  </w:num>
  <w:num w:numId="21">
    <w:abstractNumId w:val="28"/>
  </w:num>
  <w:num w:numId="22">
    <w:abstractNumId w:val="21"/>
  </w:num>
  <w:num w:numId="23">
    <w:abstractNumId w:val="33"/>
  </w:num>
  <w:num w:numId="24">
    <w:abstractNumId w:val="22"/>
  </w:num>
  <w:num w:numId="25">
    <w:abstractNumId w:val="17"/>
  </w:num>
  <w:num w:numId="26">
    <w:abstractNumId w:val="18"/>
  </w:num>
  <w:num w:numId="27">
    <w:abstractNumId w:val="29"/>
  </w:num>
  <w:num w:numId="28">
    <w:abstractNumId w:val="11"/>
  </w:num>
  <w:num w:numId="29">
    <w:abstractNumId w:val="10"/>
  </w:num>
  <w:num w:numId="30">
    <w:abstractNumId w:val="31"/>
  </w:num>
  <w:num w:numId="31">
    <w:abstractNumId w:val="20"/>
  </w:num>
  <w:num w:numId="32">
    <w:abstractNumId w:val="30"/>
  </w:num>
  <w:num w:numId="33">
    <w:abstractNumId w:val="16"/>
  </w:num>
  <w:num w:numId="34">
    <w:abstractNumId w:val="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047AC"/>
    <w:rsid w:val="00004CF5"/>
    <w:rsid w:val="000103E4"/>
    <w:rsid w:val="00013FF1"/>
    <w:rsid w:val="00020328"/>
    <w:rsid w:val="00025DA4"/>
    <w:rsid w:val="0003312C"/>
    <w:rsid w:val="00044578"/>
    <w:rsid w:val="0004566B"/>
    <w:rsid w:val="00051C42"/>
    <w:rsid w:val="00056B28"/>
    <w:rsid w:val="000579B2"/>
    <w:rsid w:val="00060C76"/>
    <w:rsid w:val="00064D44"/>
    <w:rsid w:val="00066E77"/>
    <w:rsid w:val="0007536C"/>
    <w:rsid w:val="000A39CB"/>
    <w:rsid w:val="000C1BF9"/>
    <w:rsid w:val="000C2300"/>
    <w:rsid w:val="001004AE"/>
    <w:rsid w:val="0010064D"/>
    <w:rsid w:val="00112334"/>
    <w:rsid w:val="0011413D"/>
    <w:rsid w:val="00123D88"/>
    <w:rsid w:val="00125862"/>
    <w:rsid w:val="00127C6F"/>
    <w:rsid w:val="00130AE0"/>
    <w:rsid w:val="001423EB"/>
    <w:rsid w:val="00163A50"/>
    <w:rsid w:val="00167ED7"/>
    <w:rsid w:val="00187ED7"/>
    <w:rsid w:val="001921E7"/>
    <w:rsid w:val="001A3B3B"/>
    <w:rsid w:val="001A4F6F"/>
    <w:rsid w:val="001B33EE"/>
    <w:rsid w:val="001B438F"/>
    <w:rsid w:val="001C1E11"/>
    <w:rsid w:val="001C38F9"/>
    <w:rsid w:val="001C3F9C"/>
    <w:rsid w:val="001E45A7"/>
    <w:rsid w:val="001E5B56"/>
    <w:rsid w:val="001E5EB7"/>
    <w:rsid w:val="001F71BE"/>
    <w:rsid w:val="002037FC"/>
    <w:rsid w:val="00207FD5"/>
    <w:rsid w:val="0021196A"/>
    <w:rsid w:val="0021437D"/>
    <w:rsid w:val="00220A9C"/>
    <w:rsid w:val="00220C5E"/>
    <w:rsid w:val="00230980"/>
    <w:rsid w:val="002325CB"/>
    <w:rsid w:val="00241934"/>
    <w:rsid w:val="00251AAA"/>
    <w:rsid w:val="00252132"/>
    <w:rsid w:val="00253F71"/>
    <w:rsid w:val="002545CA"/>
    <w:rsid w:val="002661F5"/>
    <w:rsid w:val="00266CE5"/>
    <w:rsid w:val="00271D89"/>
    <w:rsid w:val="00275AE0"/>
    <w:rsid w:val="00275BDB"/>
    <w:rsid w:val="002814FC"/>
    <w:rsid w:val="002A0338"/>
    <w:rsid w:val="002A2379"/>
    <w:rsid w:val="002A3C79"/>
    <w:rsid w:val="002C3C15"/>
    <w:rsid w:val="002D298C"/>
    <w:rsid w:val="002D3382"/>
    <w:rsid w:val="002D5ECE"/>
    <w:rsid w:val="002D7249"/>
    <w:rsid w:val="002E6B30"/>
    <w:rsid w:val="002F2C8C"/>
    <w:rsid w:val="002F3DCC"/>
    <w:rsid w:val="00300CD6"/>
    <w:rsid w:val="00301511"/>
    <w:rsid w:val="00301AAD"/>
    <w:rsid w:val="003034C0"/>
    <w:rsid w:val="003258B8"/>
    <w:rsid w:val="00330AF9"/>
    <w:rsid w:val="003354A0"/>
    <w:rsid w:val="00337AE9"/>
    <w:rsid w:val="00345BF5"/>
    <w:rsid w:val="0034775F"/>
    <w:rsid w:val="003506E5"/>
    <w:rsid w:val="003649C9"/>
    <w:rsid w:val="0036700F"/>
    <w:rsid w:val="0037140F"/>
    <w:rsid w:val="003741B3"/>
    <w:rsid w:val="00382AF6"/>
    <w:rsid w:val="0038743A"/>
    <w:rsid w:val="00390B68"/>
    <w:rsid w:val="00392519"/>
    <w:rsid w:val="003A132B"/>
    <w:rsid w:val="003A14D1"/>
    <w:rsid w:val="003A7D61"/>
    <w:rsid w:val="003B629C"/>
    <w:rsid w:val="003C7C38"/>
    <w:rsid w:val="003D0335"/>
    <w:rsid w:val="003D22CF"/>
    <w:rsid w:val="003E5466"/>
    <w:rsid w:val="003F10F8"/>
    <w:rsid w:val="003F4D59"/>
    <w:rsid w:val="003F7271"/>
    <w:rsid w:val="003F731F"/>
    <w:rsid w:val="00403023"/>
    <w:rsid w:val="004071E3"/>
    <w:rsid w:val="00411985"/>
    <w:rsid w:val="004200BA"/>
    <w:rsid w:val="00423182"/>
    <w:rsid w:val="0042457B"/>
    <w:rsid w:val="0042550B"/>
    <w:rsid w:val="00427B62"/>
    <w:rsid w:val="004440CC"/>
    <w:rsid w:val="004462D6"/>
    <w:rsid w:val="0044655A"/>
    <w:rsid w:val="004466E2"/>
    <w:rsid w:val="004526D5"/>
    <w:rsid w:val="004545B3"/>
    <w:rsid w:val="004705D2"/>
    <w:rsid w:val="004724BC"/>
    <w:rsid w:val="00476441"/>
    <w:rsid w:val="004923F4"/>
    <w:rsid w:val="004973D5"/>
    <w:rsid w:val="004B398B"/>
    <w:rsid w:val="004B65EB"/>
    <w:rsid w:val="004B666D"/>
    <w:rsid w:val="004C405E"/>
    <w:rsid w:val="004C6AB8"/>
    <w:rsid w:val="004C72AD"/>
    <w:rsid w:val="004C78DA"/>
    <w:rsid w:val="004D2524"/>
    <w:rsid w:val="004D26A7"/>
    <w:rsid w:val="004D62C8"/>
    <w:rsid w:val="004D6C90"/>
    <w:rsid w:val="004F069E"/>
    <w:rsid w:val="004F2CE6"/>
    <w:rsid w:val="004F635C"/>
    <w:rsid w:val="004F6D98"/>
    <w:rsid w:val="00503396"/>
    <w:rsid w:val="005172FF"/>
    <w:rsid w:val="00517A05"/>
    <w:rsid w:val="0053112B"/>
    <w:rsid w:val="005416AD"/>
    <w:rsid w:val="00542C00"/>
    <w:rsid w:val="00545012"/>
    <w:rsid w:val="00545AAE"/>
    <w:rsid w:val="0055412C"/>
    <w:rsid w:val="00554386"/>
    <w:rsid w:val="00555A65"/>
    <w:rsid w:val="00556C9A"/>
    <w:rsid w:val="00562EC4"/>
    <w:rsid w:val="00580F6A"/>
    <w:rsid w:val="00584CDD"/>
    <w:rsid w:val="0058643A"/>
    <w:rsid w:val="0059298C"/>
    <w:rsid w:val="00593B36"/>
    <w:rsid w:val="00594E2B"/>
    <w:rsid w:val="005A7506"/>
    <w:rsid w:val="005B1D57"/>
    <w:rsid w:val="005B234E"/>
    <w:rsid w:val="005B6BAC"/>
    <w:rsid w:val="005D15BC"/>
    <w:rsid w:val="005D6D40"/>
    <w:rsid w:val="005E4E2D"/>
    <w:rsid w:val="005E5A65"/>
    <w:rsid w:val="005F28AE"/>
    <w:rsid w:val="00601046"/>
    <w:rsid w:val="0061546F"/>
    <w:rsid w:val="00622E19"/>
    <w:rsid w:val="0064213B"/>
    <w:rsid w:val="00647BC0"/>
    <w:rsid w:val="00666CA8"/>
    <w:rsid w:val="00682E35"/>
    <w:rsid w:val="00685C2D"/>
    <w:rsid w:val="0069468A"/>
    <w:rsid w:val="006A050D"/>
    <w:rsid w:val="006B5954"/>
    <w:rsid w:val="006B5A41"/>
    <w:rsid w:val="006B7839"/>
    <w:rsid w:val="006C5822"/>
    <w:rsid w:val="006D5AA2"/>
    <w:rsid w:val="006D6B67"/>
    <w:rsid w:val="006E25B0"/>
    <w:rsid w:val="006E72F4"/>
    <w:rsid w:val="00701C04"/>
    <w:rsid w:val="007335C0"/>
    <w:rsid w:val="00734034"/>
    <w:rsid w:val="00740306"/>
    <w:rsid w:val="00741402"/>
    <w:rsid w:val="00750943"/>
    <w:rsid w:val="00771279"/>
    <w:rsid w:val="00773E6A"/>
    <w:rsid w:val="00773F70"/>
    <w:rsid w:val="007854EC"/>
    <w:rsid w:val="00793118"/>
    <w:rsid w:val="00793423"/>
    <w:rsid w:val="007A0D3B"/>
    <w:rsid w:val="007A4BAF"/>
    <w:rsid w:val="007B4878"/>
    <w:rsid w:val="007C24D0"/>
    <w:rsid w:val="007C3E33"/>
    <w:rsid w:val="007C761B"/>
    <w:rsid w:val="007E1521"/>
    <w:rsid w:val="007E5744"/>
    <w:rsid w:val="007F193A"/>
    <w:rsid w:val="007F70C3"/>
    <w:rsid w:val="00806311"/>
    <w:rsid w:val="00806F6C"/>
    <w:rsid w:val="0082356B"/>
    <w:rsid w:val="00825918"/>
    <w:rsid w:val="00836E14"/>
    <w:rsid w:val="00844668"/>
    <w:rsid w:val="008535D2"/>
    <w:rsid w:val="008577EF"/>
    <w:rsid w:val="00863298"/>
    <w:rsid w:val="0086410B"/>
    <w:rsid w:val="00895832"/>
    <w:rsid w:val="00897746"/>
    <w:rsid w:val="008A06F4"/>
    <w:rsid w:val="008A31AA"/>
    <w:rsid w:val="008A5A53"/>
    <w:rsid w:val="008B56CF"/>
    <w:rsid w:val="008C0587"/>
    <w:rsid w:val="008C671E"/>
    <w:rsid w:val="008D735D"/>
    <w:rsid w:val="008E3232"/>
    <w:rsid w:val="008F00AF"/>
    <w:rsid w:val="008F16E4"/>
    <w:rsid w:val="008F2B2F"/>
    <w:rsid w:val="008F2E31"/>
    <w:rsid w:val="008F4251"/>
    <w:rsid w:val="008F433E"/>
    <w:rsid w:val="00903595"/>
    <w:rsid w:val="00904B29"/>
    <w:rsid w:val="00905279"/>
    <w:rsid w:val="00913139"/>
    <w:rsid w:val="00914008"/>
    <w:rsid w:val="00916E84"/>
    <w:rsid w:val="009370E4"/>
    <w:rsid w:val="009376CA"/>
    <w:rsid w:val="00942559"/>
    <w:rsid w:val="009468D4"/>
    <w:rsid w:val="00951BF2"/>
    <w:rsid w:val="009539CA"/>
    <w:rsid w:val="00962832"/>
    <w:rsid w:val="00962E40"/>
    <w:rsid w:val="00966859"/>
    <w:rsid w:val="00967B25"/>
    <w:rsid w:val="0097374C"/>
    <w:rsid w:val="00973C9D"/>
    <w:rsid w:val="00977A06"/>
    <w:rsid w:val="00982F06"/>
    <w:rsid w:val="00986F57"/>
    <w:rsid w:val="009979C8"/>
    <w:rsid w:val="009A7533"/>
    <w:rsid w:val="009B1326"/>
    <w:rsid w:val="009B691C"/>
    <w:rsid w:val="009C5BC7"/>
    <w:rsid w:val="009C7628"/>
    <w:rsid w:val="009C7876"/>
    <w:rsid w:val="009F0E0D"/>
    <w:rsid w:val="009F44A3"/>
    <w:rsid w:val="009F73C7"/>
    <w:rsid w:val="009F7F25"/>
    <w:rsid w:val="00A0373E"/>
    <w:rsid w:val="00A10934"/>
    <w:rsid w:val="00A17374"/>
    <w:rsid w:val="00A24952"/>
    <w:rsid w:val="00A254CD"/>
    <w:rsid w:val="00A3737D"/>
    <w:rsid w:val="00A469D8"/>
    <w:rsid w:val="00A56025"/>
    <w:rsid w:val="00A5727A"/>
    <w:rsid w:val="00A643F7"/>
    <w:rsid w:val="00A7494B"/>
    <w:rsid w:val="00A81F72"/>
    <w:rsid w:val="00A9140A"/>
    <w:rsid w:val="00A92FE2"/>
    <w:rsid w:val="00A94598"/>
    <w:rsid w:val="00A96FC0"/>
    <w:rsid w:val="00A97A40"/>
    <w:rsid w:val="00AA419F"/>
    <w:rsid w:val="00AA758E"/>
    <w:rsid w:val="00AB0E1B"/>
    <w:rsid w:val="00AB125D"/>
    <w:rsid w:val="00AB3F8F"/>
    <w:rsid w:val="00AB7101"/>
    <w:rsid w:val="00AC0CC3"/>
    <w:rsid w:val="00AF0D72"/>
    <w:rsid w:val="00AF19CB"/>
    <w:rsid w:val="00AF4690"/>
    <w:rsid w:val="00AF6E99"/>
    <w:rsid w:val="00B02EF4"/>
    <w:rsid w:val="00B063AC"/>
    <w:rsid w:val="00B35918"/>
    <w:rsid w:val="00B46C71"/>
    <w:rsid w:val="00B4796F"/>
    <w:rsid w:val="00B503C4"/>
    <w:rsid w:val="00B62E10"/>
    <w:rsid w:val="00B939CA"/>
    <w:rsid w:val="00BA1345"/>
    <w:rsid w:val="00BA3977"/>
    <w:rsid w:val="00BA5A33"/>
    <w:rsid w:val="00BA7CA0"/>
    <w:rsid w:val="00BB1204"/>
    <w:rsid w:val="00BB196E"/>
    <w:rsid w:val="00BB794E"/>
    <w:rsid w:val="00BC17E8"/>
    <w:rsid w:val="00BE575A"/>
    <w:rsid w:val="00BE5B82"/>
    <w:rsid w:val="00BF2E9B"/>
    <w:rsid w:val="00BF567D"/>
    <w:rsid w:val="00BF7A60"/>
    <w:rsid w:val="00C04A53"/>
    <w:rsid w:val="00C05590"/>
    <w:rsid w:val="00C10A3F"/>
    <w:rsid w:val="00C25DFE"/>
    <w:rsid w:val="00C30EDB"/>
    <w:rsid w:val="00C31E74"/>
    <w:rsid w:val="00C36653"/>
    <w:rsid w:val="00C41698"/>
    <w:rsid w:val="00C547EE"/>
    <w:rsid w:val="00C555C7"/>
    <w:rsid w:val="00C6082D"/>
    <w:rsid w:val="00C67C42"/>
    <w:rsid w:val="00C92185"/>
    <w:rsid w:val="00C9530B"/>
    <w:rsid w:val="00CA66C5"/>
    <w:rsid w:val="00CA7BDA"/>
    <w:rsid w:val="00CB1332"/>
    <w:rsid w:val="00CB1828"/>
    <w:rsid w:val="00CC3658"/>
    <w:rsid w:val="00CD5BCE"/>
    <w:rsid w:val="00CD77A0"/>
    <w:rsid w:val="00CE7926"/>
    <w:rsid w:val="00CF2C2F"/>
    <w:rsid w:val="00CF45BF"/>
    <w:rsid w:val="00D0482D"/>
    <w:rsid w:val="00D06170"/>
    <w:rsid w:val="00D3126F"/>
    <w:rsid w:val="00D33053"/>
    <w:rsid w:val="00D37C6F"/>
    <w:rsid w:val="00D40D5A"/>
    <w:rsid w:val="00D4666C"/>
    <w:rsid w:val="00D57EF6"/>
    <w:rsid w:val="00D61C07"/>
    <w:rsid w:val="00D65089"/>
    <w:rsid w:val="00D65DB7"/>
    <w:rsid w:val="00D65DFA"/>
    <w:rsid w:val="00D756D7"/>
    <w:rsid w:val="00D77C47"/>
    <w:rsid w:val="00D80735"/>
    <w:rsid w:val="00D80E95"/>
    <w:rsid w:val="00DA561B"/>
    <w:rsid w:val="00DC0418"/>
    <w:rsid w:val="00DC1044"/>
    <w:rsid w:val="00DC3C37"/>
    <w:rsid w:val="00DE1CF9"/>
    <w:rsid w:val="00DE56C0"/>
    <w:rsid w:val="00DE5B31"/>
    <w:rsid w:val="00DE678A"/>
    <w:rsid w:val="00DF3748"/>
    <w:rsid w:val="00DF3C52"/>
    <w:rsid w:val="00DF4ACC"/>
    <w:rsid w:val="00E05AE2"/>
    <w:rsid w:val="00E10C48"/>
    <w:rsid w:val="00E11619"/>
    <w:rsid w:val="00E2221C"/>
    <w:rsid w:val="00E24573"/>
    <w:rsid w:val="00E253B1"/>
    <w:rsid w:val="00E26C87"/>
    <w:rsid w:val="00E40CF7"/>
    <w:rsid w:val="00E44D59"/>
    <w:rsid w:val="00E44D62"/>
    <w:rsid w:val="00E458F3"/>
    <w:rsid w:val="00E6742E"/>
    <w:rsid w:val="00E80898"/>
    <w:rsid w:val="00E90011"/>
    <w:rsid w:val="00EA362B"/>
    <w:rsid w:val="00EA74F7"/>
    <w:rsid w:val="00EB2FC2"/>
    <w:rsid w:val="00EC1179"/>
    <w:rsid w:val="00ED0887"/>
    <w:rsid w:val="00ED4542"/>
    <w:rsid w:val="00ED584F"/>
    <w:rsid w:val="00ED7CF7"/>
    <w:rsid w:val="00EE7492"/>
    <w:rsid w:val="00EE7AE1"/>
    <w:rsid w:val="00EF0C98"/>
    <w:rsid w:val="00F00CAA"/>
    <w:rsid w:val="00F01362"/>
    <w:rsid w:val="00F0196E"/>
    <w:rsid w:val="00F26FCF"/>
    <w:rsid w:val="00F31AA9"/>
    <w:rsid w:val="00F34224"/>
    <w:rsid w:val="00F36C08"/>
    <w:rsid w:val="00F40FBC"/>
    <w:rsid w:val="00F46A3F"/>
    <w:rsid w:val="00F569FF"/>
    <w:rsid w:val="00F56E8C"/>
    <w:rsid w:val="00F62BF4"/>
    <w:rsid w:val="00F63B41"/>
    <w:rsid w:val="00F716F8"/>
    <w:rsid w:val="00F7323A"/>
    <w:rsid w:val="00F75698"/>
    <w:rsid w:val="00F7587E"/>
    <w:rsid w:val="00F77B17"/>
    <w:rsid w:val="00F871E5"/>
    <w:rsid w:val="00F87317"/>
    <w:rsid w:val="00F87561"/>
    <w:rsid w:val="00F915CB"/>
    <w:rsid w:val="00F97BD8"/>
    <w:rsid w:val="00FA56BD"/>
    <w:rsid w:val="00FA65B6"/>
    <w:rsid w:val="00FB5440"/>
    <w:rsid w:val="00FC2BAF"/>
    <w:rsid w:val="00FD1D2F"/>
    <w:rsid w:val="00FD3AF8"/>
    <w:rsid w:val="00FE49A3"/>
    <w:rsid w:val="00FF66F4"/>
    <w:rsid w:val="00FF6B2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F84D"/>
  <w15:docId w15:val="{8C4FD19B-2D50-44B6-AD13-132DF2D4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DA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2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eading1Char">
    <w:name w:val="Heading 1 Char"/>
    <w:basedOn w:val="DefaultParagraphFont"/>
    <w:link w:val="Heading1"/>
    <w:uiPriority w:val="9"/>
    <w:rsid w:val="00DA561B"/>
    <w:rPr>
      <w:rFonts w:asciiTheme="majorHAnsi" w:eastAsiaTheme="majorEastAsia" w:hAnsiTheme="majorHAnsi" w:cstheme="majorBidi"/>
      <w:b/>
      <w:bCs/>
      <w:color w:val="365F91" w:themeColor="accent1" w:themeShade="BF"/>
      <w:sz w:val="28"/>
      <w:szCs w:val="28"/>
    </w:rPr>
  </w:style>
  <w:style w:type="character" w:customStyle="1" w:styleId="hps">
    <w:name w:val="hps"/>
    <w:rsid w:val="001B438F"/>
  </w:style>
  <w:style w:type="paragraph" w:customStyle="1" w:styleId="Default">
    <w:name w:val="Default"/>
    <w:rsid w:val="001B438F"/>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ListParagraph">
    <w:name w:val="List Paragraph"/>
    <w:basedOn w:val="Normal"/>
    <w:uiPriority w:val="34"/>
    <w:qFormat/>
    <w:rsid w:val="001921E7"/>
    <w:pPr>
      <w:ind w:left="720"/>
      <w:contextualSpacing/>
    </w:pPr>
  </w:style>
  <w:style w:type="paragraph" w:styleId="TOCHeading">
    <w:name w:val="TOC Heading"/>
    <w:basedOn w:val="Heading1"/>
    <w:next w:val="Normal"/>
    <w:uiPriority w:val="39"/>
    <w:semiHidden/>
    <w:unhideWhenUsed/>
    <w:qFormat/>
    <w:rsid w:val="00982F06"/>
    <w:pPr>
      <w:outlineLvl w:val="9"/>
    </w:pPr>
    <w:rPr>
      <w:lang w:val="en-US"/>
    </w:rPr>
  </w:style>
  <w:style w:type="paragraph" w:styleId="TOC1">
    <w:name w:val="toc 1"/>
    <w:basedOn w:val="Normal"/>
    <w:next w:val="Normal"/>
    <w:autoRedefine/>
    <w:uiPriority w:val="39"/>
    <w:unhideWhenUsed/>
    <w:rsid w:val="004724BC"/>
    <w:pPr>
      <w:tabs>
        <w:tab w:val="left" w:pos="426"/>
        <w:tab w:val="right" w:leader="dot" w:pos="9627"/>
      </w:tabs>
    </w:pPr>
  </w:style>
  <w:style w:type="character" w:styleId="Strong">
    <w:name w:val="Strong"/>
    <w:qFormat/>
    <w:rsid w:val="00D0482D"/>
    <w:rPr>
      <w:b/>
      <w:bCs/>
    </w:rPr>
  </w:style>
  <w:style w:type="paragraph" w:customStyle="1" w:styleId="BodytekstUK">
    <w:name w:val="BodytekstUK"/>
    <w:basedOn w:val="Normal"/>
    <w:link w:val="BodytekstUKChar"/>
    <w:rsid w:val="00D0482D"/>
    <w:pPr>
      <w:spacing w:after="120" w:line="300" w:lineRule="auto"/>
    </w:pPr>
    <w:rPr>
      <w:rFonts w:ascii="Arial" w:eastAsia="Times New Roman" w:hAnsi="Arial" w:cs="Times New Roman"/>
      <w:sz w:val="20"/>
      <w:szCs w:val="20"/>
      <w:lang w:val="en-GB" w:eastAsia="nl-NL"/>
    </w:rPr>
  </w:style>
  <w:style w:type="character" w:customStyle="1" w:styleId="BodytekstUKChar">
    <w:name w:val="BodytekstUK Char"/>
    <w:link w:val="BodytekstUK"/>
    <w:rsid w:val="00D0482D"/>
    <w:rPr>
      <w:rFonts w:ascii="Arial" w:eastAsia="Times New Roman" w:hAnsi="Arial" w:cs="Times New Roman"/>
      <w:sz w:val="20"/>
      <w:szCs w:val="20"/>
      <w:lang w:val="en-GB" w:eastAsia="nl-NL"/>
    </w:rPr>
  </w:style>
  <w:style w:type="paragraph" w:styleId="NoSpacing">
    <w:name w:val="No Spacing"/>
    <w:uiPriority w:val="1"/>
    <w:qFormat/>
    <w:rsid w:val="007C3E33"/>
    <w:pPr>
      <w:spacing w:after="0" w:line="240" w:lineRule="auto"/>
    </w:pPr>
  </w:style>
  <w:style w:type="character" w:styleId="CommentReference">
    <w:name w:val="annotation reference"/>
    <w:basedOn w:val="DefaultParagraphFont"/>
    <w:uiPriority w:val="99"/>
    <w:semiHidden/>
    <w:unhideWhenUsed/>
    <w:rsid w:val="00D33053"/>
    <w:rPr>
      <w:sz w:val="16"/>
      <w:szCs w:val="16"/>
    </w:rPr>
  </w:style>
  <w:style w:type="paragraph" w:styleId="CommentText">
    <w:name w:val="annotation text"/>
    <w:basedOn w:val="Normal"/>
    <w:link w:val="CommentTextChar"/>
    <w:uiPriority w:val="99"/>
    <w:semiHidden/>
    <w:unhideWhenUsed/>
    <w:rsid w:val="00D33053"/>
    <w:pPr>
      <w:spacing w:line="240" w:lineRule="auto"/>
    </w:pPr>
    <w:rPr>
      <w:sz w:val="20"/>
      <w:szCs w:val="20"/>
    </w:rPr>
  </w:style>
  <w:style w:type="character" w:customStyle="1" w:styleId="CommentTextChar">
    <w:name w:val="Comment Text Char"/>
    <w:basedOn w:val="DefaultParagraphFont"/>
    <w:link w:val="CommentText"/>
    <w:uiPriority w:val="99"/>
    <w:semiHidden/>
    <w:rsid w:val="00D33053"/>
    <w:rPr>
      <w:sz w:val="20"/>
      <w:szCs w:val="20"/>
    </w:rPr>
  </w:style>
  <w:style w:type="paragraph" w:styleId="CommentSubject">
    <w:name w:val="annotation subject"/>
    <w:basedOn w:val="CommentText"/>
    <w:next w:val="CommentText"/>
    <w:link w:val="CommentSubjectChar"/>
    <w:uiPriority w:val="99"/>
    <w:semiHidden/>
    <w:unhideWhenUsed/>
    <w:rsid w:val="00D33053"/>
    <w:rPr>
      <w:b/>
      <w:bCs/>
    </w:rPr>
  </w:style>
  <w:style w:type="character" w:customStyle="1" w:styleId="CommentSubjectChar">
    <w:name w:val="Comment Subject Char"/>
    <w:basedOn w:val="CommentTextChar"/>
    <w:link w:val="CommentSubject"/>
    <w:uiPriority w:val="99"/>
    <w:semiHidden/>
    <w:rsid w:val="00D33053"/>
    <w:rPr>
      <w:b/>
      <w:bCs/>
      <w:sz w:val="20"/>
      <w:szCs w:val="20"/>
    </w:rPr>
  </w:style>
  <w:style w:type="character" w:customStyle="1" w:styleId="Heading2Char">
    <w:name w:val="Heading 2 Char"/>
    <w:basedOn w:val="DefaultParagraphFont"/>
    <w:link w:val="Heading2"/>
    <w:uiPriority w:val="9"/>
    <w:rsid w:val="005172FF"/>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E5A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36210">
      <w:bodyDiv w:val="1"/>
      <w:marLeft w:val="0"/>
      <w:marRight w:val="0"/>
      <w:marTop w:val="0"/>
      <w:marBottom w:val="0"/>
      <w:divBdr>
        <w:top w:val="none" w:sz="0" w:space="0" w:color="auto"/>
        <w:left w:val="none" w:sz="0" w:space="0" w:color="auto"/>
        <w:bottom w:val="none" w:sz="0" w:space="0" w:color="auto"/>
        <w:right w:val="none" w:sz="0" w:space="0" w:color="auto"/>
      </w:divBdr>
    </w:div>
    <w:div w:id="1364669664">
      <w:bodyDiv w:val="1"/>
      <w:marLeft w:val="0"/>
      <w:marRight w:val="0"/>
      <w:marTop w:val="0"/>
      <w:marBottom w:val="0"/>
      <w:divBdr>
        <w:top w:val="none" w:sz="0" w:space="0" w:color="auto"/>
        <w:left w:val="none" w:sz="0" w:space="0" w:color="auto"/>
        <w:bottom w:val="none" w:sz="0" w:space="0" w:color="auto"/>
        <w:right w:val="none" w:sz="0" w:space="0" w:color="auto"/>
      </w:divBdr>
    </w:div>
    <w:div w:id="14838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9A21D-B8C6-455B-B13F-41B7A50A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1760</Words>
  <Characters>10033</Characters>
  <Application>Microsoft Office Word</Application>
  <DocSecurity>0</DocSecurity>
  <Lines>83</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Banush Neziri</dc:creator>
  <cp:keywords/>
  <dc:description/>
  <cp:lastModifiedBy>Valmira Bedri. Sejdiu</cp:lastModifiedBy>
  <cp:revision>19</cp:revision>
  <cp:lastPrinted>2019-10-15T12:44:00Z</cp:lastPrinted>
  <dcterms:created xsi:type="dcterms:W3CDTF">2019-11-17T20:34:00Z</dcterms:created>
  <dcterms:modified xsi:type="dcterms:W3CDTF">2019-11-18T13:02:00Z</dcterms:modified>
</cp:coreProperties>
</file>