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52" w:rsidRPr="00B52B1D" w:rsidRDefault="00964A1B">
      <w:pPr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FBDEE45" wp14:editId="246A8ACF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952" w:rsidRPr="00B52B1D" w:rsidRDefault="00A24952">
      <w:pPr>
        <w:rPr>
          <w:rFonts w:ascii="Times New Roman" w:hAnsi="Times New Roman" w:cs="Times New Roman"/>
          <w:lang w:val="fr-FR"/>
        </w:rPr>
      </w:pPr>
    </w:p>
    <w:p w:rsidR="00905279" w:rsidRPr="00B52B1D" w:rsidRDefault="00905279">
      <w:pPr>
        <w:rPr>
          <w:rFonts w:ascii="Times New Roman" w:hAnsi="Times New Roman" w:cs="Times New Roman"/>
          <w:lang w:val="fr-FR"/>
        </w:rPr>
      </w:pPr>
    </w:p>
    <w:p w:rsidR="00905279" w:rsidRPr="00B52B1D" w:rsidRDefault="00905279">
      <w:pPr>
        <w:rPr>
          <w:rFonts w:ascii="Times New Roman" w:hAnsi="Times New Roman" w:cs="Times New Roman"/>
          <w:lang w:val="fr-FR"/>
        </w:rPr>
      </w:pPr>
    </w:p>
    <w:p w:rsidR="00905279" w:rsidRPr="00B52B1D" w:rsidRDefault="00905279">
      <w:pPr>
        <w:rPr>
          <w:rFonts w:ascii="Times New Roman" w:hAnsi="Times New Roman" w:cs="Times New Roman"/>
          <w:lang w:val="fr-FR"/>
        </w:rPr>
      </w:pPr>
    </w:p>
    <w:p w:rsidR="00905279" w:rsidRDefault="00905279">
      <w:pPr>
        <w:rPr>
          <w:rFonts w:ascii="Times New Roman" w:hAnsi="Times New Roman" w:cs="Times New Roman"/>
          <w:lang w:val="fr-FR"/>
        </w:rPr>
      </w:pPr>
    </w:p>
    <w:p w:rsidR="0045401B" w:rsidRPr="00B52B1D" w:rsidRDefault="0045401B">
      <w:pPr>
        <w:rPr>
          <w:rFonts w:ascii="Times New Roman" w:hAnsi="Times New Roman" w:cs="Times New Roman"/>
          <w:lang w:val="fr-FR"/>
        </w:rPr>
      </w:pPr>
    </w:p>
    <w:p w:rsidR="00905279" w:rsidRPr="00B52B1D" w:rsidRDefault="00905279" w:rsidP="00905279">
      <w:pPr>
        <w:jc w:val="center"/>
        <w:rPr>
          <w:rFonts w:ascii="Times New Roman" w:hAnsi="Times New Roman" w:cs="Times New Roman"/>
          <w:lang w:val="fr-FR"/>
        </w:rPr>
      </w:pPr>
    </w:p>
    <w:p w:rsidR="00905279" w:rsidRPr="00B52B1D" w:rsidRDefault="00905279" w:rsidP="00905279">
      <w:pPr>
        <w:jc w:val="center"/>
        <w:rPr>
          <w:rFonts w:ascii="Times New Roman" w:hAnsi="Times New Roman" w:cs="Times New Roman"/>
          <w:lang w:val="fr-FR"/>
        </w:rPr>
      </w:pPr>
    </w:p>
    <w:p w:rsidR="00241934" w:rsidRPr="00B52B1D" w:rsidRDefault="00236991" w:rsidP="00DA56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POLITIKA</w:t>
      </w:r>
      <w:r w:rsidR="00241934">
        <w:rPr>
          <w:rFonts w:ascii="Times New Roman" w:hAnsi="Times New Roman"/>
          <w:b/>
          <w:sz w:val="32"/>
          <w:szCs w:val="32"/>
        </w:rPr>
        <w:t xml:space="preserve"> </w:t>
      </w:r>
    </w:p>
    <w:p w:rsidR="006E5C27" w:rsidRDefault="00236991" w:rsidP="00DA56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="002419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AKREDITACIJSKIM</w:t>
      </w:r>
      <w:r w:rsidR="0024193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AKTIVNOSTIMA</w:t>
      </w:r>
      <w:r w:rsidR="00241934">
        <w:rPr>
          <w:rFonts w:ascii="Times New Roman" w:hAnsi="Times New Roman"/>
          <w:b/>
          <w:sz w:val="32"/>
          <w:szCs w:val="32"/>
        </w:rPr>
        <w:t xml:space="preserve"> I KRITERIJUMIMA </w:t>
      </w:r>
      <w:r>
        <w:rPr>
          <w:rFonts w:ascii="Times New Roman" w:hAnsi="Times New Roman"/>
          <w:b/>
          <w:sz w:val="32"/>
          <w:szCs w:val="32"/>
        </w:rPr>
        <w:t>DAK</w:t>
      </w:r>
      <w:r w:rsidR="00241934">
        <w:rPr>
          <w:rFonts w:ascii="Times New Roman" w:hAnsi="Times New Roman"/>
          <w:b/>
          <w:sz w:val="32"/>
          <w:szCs w:val="32"/>
        </w:rPr>
        <w:t xml:space="preserve">-a </w:t>
      </w:r>
    </w:p>
    <w:p w:rsidR="00DA561B" w:rsidRPr="00B52B1D" w:rsidRDefault="00241934" w:rsidP="00BE535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 AKREDITACIJU </w:t>
      </w:r>
    </w:p>
    <w:p w:rsidR="00905279" w:rsidRPr="00B52B1D" w:rsidRDefault="00625F76" w:rsidP="00BE53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DAK-PO-03</w:t>
      </w:r>
    </w:p>
    <w:p w:rsidR="00905279" w:rsidRPr="00B52B1D" w:rsidRDefault="00905279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05279" w:rsidRPr="00B52B1D" w:rsidRDefault="00905279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E5351" w:rsidRDefault="00BE5351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E5351" w:rsidRPr="00B52B1D" w:rsidRDefault="00BE5351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25F76" w:rsidRDefault="00625F76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E5351" w:rsidRPr="00B52B1D" w:rsidRDefault="00BE5351" w:rsidP="0090527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E3436F" w:rsidRDefault="00236991" w:rsidP="000F2F36">
      <w:pPr>
        <w:spacing w:after="0" w:line="360" w:lineRule="auto"/>
        <w:ind w:left="504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ODOBRENO</w:t>
      </w:r>
      <w:r w:rsidR="000F2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0F2F36">
        <w:rPr>
          <w:rFonts w:ascii="Times New Roman" w:hAnsi="Times New Roman"/>
          <w:sz w:val="24"/>
          <w:szCs w:val="24"/>
        </w:rPr>
        <w:t>,</w:t>
      </w:r>
    </w:p>
    <w:p w:rsidR="000F2F36" w:rsidRPr="00E3436F" w:rsidRDefault="000F2F36" w:rsidP="000F2F36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0F2F36" w:rsidRPr="00E3436F" w:rsidRDefault="00236991" w:rsidP="000F2F36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0F2F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:rsidR="000F2F36" w:rsidRPr="00E3436F" w:rsidRDefault="000F2F36" w:rsidP="000F2F36">
      <w:pPr>
        <w:spacing w:after="0"/>
        <w:ind w:left="50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A67B31" w:rsidRDefault="00A67B31" w:rsidP="00625F7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5C27" w:rsidRDefault="006E5C27" w:rsidP="00625F7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5C27" w:rsidRDefault="006E5C27" w:rsidP="00625F7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5C27" w:rsidRPr="00B52B1D" w:rsidRDefault="006E5C27" w:rsidP="00625F76">
      <w:pPr>
        <w:jc w:val="both"/>
        <w:rPr>
          <w:rFonts w:cs="Times New Roman"/>
          <w:lang w:val="en-GB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2339656"/>
        <w:docPartObj>
          <w:docPartGallery w:val="Table of Contents"/>
          <w:docPartUnique/>
        </w:docPartObj>
      </w:sdtPr>
      <w:sdtEndPr/>
      <w:sdtContent>
        <w:p w:rsidR="00AC13BE" w:rsidRPr="00391C71" w:rsidRDefault="00236991" w:rsidP="00AC13BE">
          <w:pPr>
            <w:pStyle w:val="TOCHeading"/>
            <w:rPr>
              <w:rFonts w:asciiTheme="majorBidi" w:hAnsiTheme="majorBidi"/>
              <w:bCs w:val="0"/>
              <w:color w:val="auto"/>
              <w:sz w:val="24"/>
              <w:szCs w:val="24"/>
            </w:rPr>
          </w:pPr>
          <w:r>
            <w:rPr>
              <w:rFonts w:asciiTheme="majorBidi" w:hAnsiTheme="majorBidi"/>
              <w:color w:val="auto"/>
              <w:sz w:val="24"/>
              <w:szCs w:val="24"/>
            </w:rPr>
            <w:t>SADRŽAJ</w:t>
          </w:r>
        </w:p>
        <w:p w:rsidR="00982F06" w:rsidRPr="00391C71" w:rsidRDefault="00982F06" w:rsidP="00AC13BE">
          <w:pPr>
            <w:pStyle w:val="TOCHeading"/>
            <w:rPr>
              <w:b w:val="0"/>
              <w:color w:val="auto"/>
              <w:lang w:val="en-GB"/>
            </w:rPr>
          </w:pPr>
        </w:p>
        <w:p w:rsidR="00236991" w:rsidRDefault="00775347">
          <w:pPr>
            <w:pStyle w:val="TOC1"/>
            <w:rPr>
              <w:rFonts w:eastAsiaTheme="minorEastAsia"/>
              <w:noProof/>
              <w:lang w:val="en-US"/>
            </w:rPr>
          </w:pPr>
          <w:r w:rsidRPr="00391C71">
            <w:fldChar w:fldCharType="begin"/>
          </w:r>
          <w:r w:rsidR="00982F06" w:rsidRPr="00391C71">
            <w:instrText xml:space="preserve"> TOC \o "1-3" \h \z \u </w:instrText>
          </w:r>
          <w:r w:rsidRPr="00391C71">
            <w:fldChar w:fldCharType="separate"/>
          </w:r>
          <w:hyperlink w:anchor="_Toc32232422" w:history="1">
            <w:r w:rsidR="00236991" w:rsidRPr="000D72DD">
              <w:rPr>
                <w:rStyle w:val="Hyperlink"/>
                <w:rFonts w:ascii="Times New Roman" w:hAnsi="Times New Roman"/>
                <w:noProof/>
              </w:rPr>
              <w:t>1. DELOKRUG</w:t>
            </w:r>
            <w:r w:rsidR="00236991">
              <w:rPr>
                <w:noProof/>
                <w:webHidden/>
              </w:rPr>
              <w:tab/>
            </w:r>
            <w:r w:rsidR="00236991">
              <w:rPr>
                <w:noProof/>
                <w:webHidden/>
              </w:rPr>
              <w:fldChar w:fldCharType="begin"/>
            </w:r>
            <w:r w:rsidR="00236991">
              <w:rPr>
                <w:noProof/>
                <w:webHidden/>
              </w:rPr>
              <w:instrText xml:space="preserve"> PAGEREF _Toc32232422 \h </w:instrText>
            </w:r>
            <w:r w:rsidR="00236991">
              <w:rPr>
                <w:noProof/>
                <w:webHidden/>
              </w:rPr>
            </w:r>
            <w:r w:rsidR="00236991">
              <w:rPr>
                <w:noProof/>
                <w:webHidden/>
              </w:rPr>
              <w:fldChar w:fldCharType="separate"/>
            </w:r>
            <w:r w:rsidR="00236991">
              <w:rPr>
                <w:noProof/>
                <w:webHidden/>
              </w:rPr>
              <w:t>3</w:t>
            </w:r>
            <w:r w:rsidR="00236991"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23" w:history="1">
            <w:r w:rsidRPr="000D72DD">
              <w:rPr>
                <w:rStyle w:val="Hyperlink"/>
                <w:rFonts w:ascii="Times New Roman" w:hAnsi="Times New Roman"/>
                <w:noProof/>
              </w:rPr>
              <w:t>2. 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24" w:history="1">
            <w:r w:rsidRPr="000D72DD">
              <w:rPr>
                <w:rStyle w:val="Hyperlink"/>
                <w:rFonts w:ascii="Times New Roman" w:hAnsi="Times New Roman"/>
                <w:noProof/>
              </w:rPr>
              <w:t>3. 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25" w:history="1">
            <w:r w:rsidRPr="000D72DD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426" w:history="1"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427" w:history="1"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28" w:history="1">
            <w:r w:rsidRPr="000D72DD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0D72DD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429" w:history="1"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>5.1 A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ktivnosti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kriterijumi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DAK-a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430" w:history="1"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5.2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Proširenje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DAK-ove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aktivnosti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431" w:history="1"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5.3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Promene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kriterijuma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0D72DD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akreditaciju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32" w:history="1">
            <w:r w:rsidRPr="000D72DD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33" w:history="1">
            <w:r w:rsidRPr="000D72DD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991" w:rsidRDefault="00236991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434" w:history="1">
            <w:r w:rsidRPr="000D72DD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 w:rsidRPr="000D72DD">
              <w:rPr>
                <w:rStyle w:val="Hyperlink"/>
                <w:rFonts w:ascii="Times New Roman" w:hAnsi="Times New Roman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F06" w:rsidRPr="00B52B1D" w:rsidRDefault="00775347">
          <w:r w:rsidRPr="00391C71">
            <w:fldChar w:fldCharType="end"/>
          </w:r>
        </w:p>
      </w:sdtContent>
    </w:sdt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982F06" w:rsidRPr="00B52B1D" w:rsidRDefault="00982F06" w:rsidP="00982F06">
      <w:pPr>
        <w:rPr>
          <w:lang w:val="en-GB"/>
        </w:rPr>
      </w:pPr>
    </w:p>
    <w:p w:rsidR="00BE5351" w:rsidRDefault="00BE5351" w:rsidP="00982F06">
      <w:pPr>
        <w:rPr>
          <w:lang w:val="en-GB"/>
        </w:rPr>
      </w:pPr>
    </w:p>
    <w:p w:rsidR="00C8472D" w:rsidRDefault="00C8472D" w:rsidP="00982F06">
      <w:pPr>
        <w:rPr>
          <w:lang w:val="en-GB"/>
        </w:rPr>
      </w:pPr>
    </w:p>
    <w:p w:rsidR="00C8472D" w:rsidRPr="00B52B1D" w:rsidRDefault="00C8472D" w:rsidP="00982F06">
      <w:pPr>
        <w:rPr>
          <w:lang w:val="en-GB"/>
        </w:rPr>
      </w:pPr>
    </w:p>
    <w:p w:rsidR="00241934" w:rsidRPr="0045401B" w:rsidRDefault="00DA561B" w:rsidP="0045401B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2232422"/>
      <w:r>
        <w:rPr>
          <w:rFonts w:ascii="Times New Roman" w:hAnsi="Times New Roman"/>
          <w:color w:val="auto"/>
          <w:sz w:val="24"/>
          <w:szCs w:val="24"/>
        </w:rPr>
        <w:t>1. DELOKRUG</w:t>
      </w:r>
      <w:bookmarkEnd w:id="0"/>
    </w:p>
    <w:p w:rsidR="001921E7" w:rsidRPr="00B52B1D" w:rsidRDefault="001921E7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1E7" w:rsidRPr="00B52B1D" w:rsidRDefault="00236991" w:rsidP="0064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419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pogledu</w:t>
      </w:r>
      <w:r w:rsidR="00241934">
        <w:rPr>
          <w:rFonts w:ascii="Times New Roman" w:hAnsi="Times New Roman"/>
          <w:sz w:val="24"/>
          <w:szCs w:val="24"/>
        </w:rPr>
        <w:t xml:space="preserve"> njenih </w:t>
      </w:r>
      <w:r>
        <w:rPr>
          <w:rFonts w:ascii="Times New Roman" w:hAnsi="Times New Roman"/>
          <w:sz w:val="24"/>
          <w:szCs w:val="24"/>
        </w:rPr>
        <w:t>aktivnosti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2419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Takođe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241934">
        <w:rPr>
          <w:rFonts w:ascii="Times New Roman" w:hAnsi="Times New Roman"/>
          <w:sz w:val="24"/>
          <w:szCs w:val="24"/>
        </w:rPr>
        <w:t xml:space="preserve"> vršenja i saopštenja izmena istim.  </w:t>
      </w:r>
      <w:r>
        <w:rPr>
          <w:rFonts w:ascii="Times New Roman" w:hAnsi="Times New Roman"/>
          <w:sz w:val="24"/>
          <w:szCs w:val="24"/>
        </w:rPr>
        <w:t>U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prilogu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navedeni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standardi</w:t>
      </w:r>
      <w:r w:rsidR="0024193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</w:t>
      </w:r>
      <w:r w:rsidR="00241934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obavezn</w:t>
      </w:r>
      <w:r w:rsidR="00241934">
        <w:rPr>
          <w:rFonts w:ascii="Times New Roman" w:hAnsi="Times New Roman"/>
          <w:sz w:val="24"/>
          <w:szCs w:val="24"/>
        </w:rPr>
        <w:t xml:space="preserve">a dokumenta i smernica </w:t>
      </w:r>
      <w:r>
        <w:rPr>
          <w:rFonts w:ascii="Times New Roman" w:hAnsi="Times New Roman"/>
          <w:sz w:val="24"/>
          <w:szCs w:val="24"/>
        </w:rPr>
        <w:t>DAK</w:t>
      </w:r>
      <w:r w:rsidR="00241934">
        <w:rPr>
          <w:rFonts w:ascii="Times New Roman" w:hAnsi="Times New Roman"/>
          <w:sz w:val="24"/>
          <w:szCs w:val="24"/>
        </w:rPr>
        <w:t xml:space="preserve">-, </w:t>
      </w:r>
      <w:r>
        <w:rPr>
          <w:rFonts w:ascii="Times New Roman" w:hAnsi="Times New Roman"/>
          <w:sz w:val="24"/>
          <w:szCs w:val="24"/>
        </w:rPr>
        <w:t>EA</w:t>
      </w:r>
      <w:r w:rsidR="00241934">
        <w:rPr>
          <w:rFonts w:ascii="Times New Roman" w:hAnsi="Times New Roman"/>
          <w:sz w:val="24"/>
          <w:szCs w:val="24"/>
        </w:rPr>
        <w:t xml:space="preserve">-a </w:t>
      </w:r>
      <w:r>
        <w:rPr>
          <w:rFonts w:ascii="Times New Roman" w:hAnsi="Times New Roman"/>
          <w:sz w:val="24"/>
          <w:szCs w:val="24"/>
        </w:rPr>
        <w:t>i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241934">
        <w:rPr>
          <w:rFonts w:ascii="Times New Roman" w:hAnsi="Times New Roman"/>
          <w:sz w:val="24"/>
          <w:szCs w:val="24"/>
        </w:rPr>
        <w:t xml:space="preserve">-a </w:t>
      </w:r>
      <w:r>
        <w:rPr>
          <w:rFonts w:ascii="Times New Roman" w:hAnsi="Times New Roman"/>
          <w:sz w:val="24"/>
          <w:szCs w:val="24"/>
        </w:rPr>
        <w:t>i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</w:t>
      </w:r>
      <w:r w:rsidR="00241934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sistema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trenutno</w:t>
      </w:r>
      <w:r w:rsidR="00241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akreditovan</w:t>
      </w:r>
      <w:r w:rsidR="00241934">
        <w:rPr>
          <w:rFonts w:ascii="Times New Roman" w:hAnsi="Times New Roman"/>
          <w:sz w:val="24"/>
          <w:szCs w:val="24"/>
        </w:rPr>
        <w:t>.</w:t>
      </w:r>
    </w:p>
    <w:p w:rsidR="00241934" w:rsidRPr="00A8365A" w:rsidRDefault="00241934" w:rsidP="00A8365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32232423"/>
      <w:r>
        <w:rPr>
          <w:rFonts w:ascii="Times New Roman" w:hAnsi="Times New Roman"/>
          <w:color w:val="000000" w:themeColor="text1"/>
          <w:sz w:val="24"/>
          <w:szCs w:val="24"/>
        </w:rPr>
        <w:t>2.  REFERENCE</w:t>
      </w:r>
      <w:bookmarkEnd w:id="1"/>
    </w:p>
    <w:p w:rsidR="00241934" w:rsidRPr="00B52B1D" w:rsidRDefault="00241934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4333C" w:rsidRDefault="00236991" w:rsidP="0036584A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</w:t>
      </w:r>
      <w:r w:rsidR="00943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 w:rsidR="0094333C">
        <w:rPr>
          <w:rFonts w:ascii="Times New Roman" w:hAnsi="Times New Roman"/>
          <w:sz w:val="24"/>
          <w:szCs w:val="24"/>
        </w:rPr>
        <w:t>. 05/L-117 o akreditaciji;</w:t>
      </w:r>
    </w:p>
    <w:p w:rsidR="0036584A" w:rsidRPr="00B52B1D" w:rsidRDefault="00236991" w:rsidP="0045401B">
      <w:pPr>
        <w:pStyle w:val="ListParagraph"/>
        <w:numPr>
          <w:ilvl w:val="0"/>
          <w:numId w:val="6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36584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36584A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Procena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36584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Zahtevi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akreditaciona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36584A">
        <w:rPr>
          <w:rFonts w:ascii="Times New Roman" w:hAnsi="Times New Roman"/>
          <w:sz w:val="24"/>
          <w:szCs w:val="24"/>
        </w:rPr>
        <w:t xml:space="preserve"> koja akreditiraju organe za procenu usklađenosti.</w:t>
      </w:r>
    </w:p>
    <w:p w:rsidR="0064213B" w:rsidRPr="0045401B" w:rsidRDefault="0064213B" w:rsidP="00454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45114" w:rsidRPr="00221411" w:rsidRDefault="00241934" w:rsidP="0022141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2232424"/>
      <w:r>
        <w:rPr>
          <w:rFonts w:ascii="Times New Roman" w:hAnsi="Times New Roman"/>
          <w:color w:val="000000" w:themeColor="text1"/>
          <w:sz w:val="24"/>
          <w:szCs w:val="24"/>
        </w:rPr>
        <w:t>3.  ODGOVORNOSTI</w:t>
      </w:r>
      <w:bookmarkEnd w:id="2"/>
    </w:p>
    <w:p w:rsidR="00E04ECA" w:rsidRPr="0045401B" w:rsidRDefault="00E04ECA" w:rsidP="0045401B">
      <w:pPr>
        <w:spacing w:after="0" w:line="240" w:lineRule="auto"/>
        <w:rPr>
          <w:lang w:val="en-GB"/>
        </w:rPr>
      </w:pPr>
    </w:p>
    <w:p w:rsidR="009D6B3B" w:rsidRPr="0084142C" w:rsidRDefault="000A6BD6" w:rsidP="0045401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Ova politika je obavezna za unutrašnje i spoljašnje </w:t>
      </w:r>
      <w:proofErr w:type="spellStart"/>
      <w:r w:rsidR="00236991">
        <w:rPr>
          <w:rFonts w:ascii="Times New Roman" w:hAnsi="Times New Roman"/>
          <w:sz w:val="24"/>
          <w:szCs w:val="24"/>
        </w:rPr>
        <w:t>osoblјe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23699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991">
        <w:rPr>
          <w:rFonts w:ascii="Times New Roman" w:hAnsi="Times New Roman"/>
          <w:sz w:val="24"/>
          <w:szCs w:val="24"/>
        </w:rPr>
        <w:t>uklјučeno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akreditaciju</w:t>
      </w:r>
      <w:r>
        <w:rPr>
          <w:rFonts w:ascii="Times New Roman" w:hAnsi="Times New Roman"/>
          <w:sz w:val="24"/>
          <w:szCs w:val="24"/>
        </w:rPr>
        <w:t xml:space="preserve"> (</w:t>
      </w:r>
      <w:r w:rsidR="00236991">
        <w:rPr>
          <w:rFonts w:ascii="Times New Roman" w:hAnsi="Times New Roman"/>
          <w:sz w:val="24"/>
          <w:szCs w:val="24"/>
        </w:rPr>
        <w:t>kao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što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unutrašnje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991">
        <w:rPr>
          <w:rFonts w:ascii="Times New Roman" w:hAnsi="Times New Roman"/>
          <w:sz w:val="24"/>
          <w:szCs w:val="24"/>
        </w:rPr>
        <w:t>osoblјe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23699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PC, AC, TC, </w:t>
      </w:r>
      <w:r w:rsidR="00236991">
        <w:rPr>
          <w:rFonts w:ascii="Times New Roman" w:hAnsi="Times New Roman"/>
          <w:sz w:val="24"/>
          <w:szCs w:val="24"/>
        </w:rPr>
        <w:t>procenjivači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stručnjaci</w:t>
      </w:r>
      <w:r>
        <w:rPr>
          <w:rFonts w:ascii="Times New Roman" w:hAnsi="Times New Roman"/>
          <w:sz w:val="24"/>
          <w:szCs w:val="24"/>
        </w:rPr>
        <w:t xml:space="preserve">) </w:t>
      </w:r>
      <w:r w:rsidR="002369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klijente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23699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(one </w:t>
      </w:r>
      <w:r w:rsidR="00236991">
        <w:rPr>
          <w:rFonts w:ascii="Times New Roman" w:hAnsi="Times New Roman"/>
          <w:sz w:val="24"/>
          <w:szCs w:val="24"/>
        </w:rPr>
        <w:t>akreditovane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one koje </w:t>
      </w:r>
      <w:r w:rsidR="00236991">
        <w:rPr>
          <w:rFonts w:ascii="Times New Roman" w:hAnsi="Times New Roman"/>
          <w:sz w:val="24"/>
          <w:szCs w:val="24"/>
        </w:rPr>
        <w:t>traže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akreditaciju</w:t>
      </w:r>
      <w:r>
        <w:rPr>
          <w:rFonts w:ascii="Times New Roman" w:hAnsi="Times New Roman"/>
          <w:sz w:val="24"/>
          <w:szCs w:val="24"/>
        </w:rPr>
        <w:t>).</w:t>
      </w:r>
    </w:p>
    <w:p w:rsidR="000A6BD6" w:rsidRPr="00F64F4A" w:rsidRDefault="009D6B3B" w:rsidP="00F64F4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32232425"/>
      <w:r>
        <w:rPr>
          <w:rFonts w:ascii="Times New Roman" w:hAnsi="Times New Roman"/>
          <w:color w:val="000000" w:themeColor="text1"/>
          <w:sz w:val="24"/>
          <w:szCs w:val="24"/>
        </w:rPr>
        <w:t>4. REČNIK I SKRAČENICE</w:t>
      </w:r>
      <w:bookmarkEnd w:id="3"/>
    </w:p>
    <w:p w:rsidR="00E8267C" w:rsidRPr="00217EC6" w:rsidRDefault="00E8267C" w:rsidP="0045401B">
      <w:pPr>
        <w:spacing w:after="0" w:line="240" w:lineRule="auto"/>
      </w:pPr>
    </w:p>
    <w:p w:rsidR="00476A69" w:rsidRPr="002D2C52" w:rsidRDefault="009D6B3B" w:rsidP="002D2C52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32232426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4.1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Rečnik</w:t>
      </w:r>
      <w:bookmarkEnd w:id="4"/>
    </w:p>
    <w:p w:rsidR="00476A69" w:rsidRPr="00217EC6" w:rsidRDefault="00236991" w:rsidP="00454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476A69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476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476A69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476A69">
        <w:rPr>
          <w:rFonts w:ascii="Times New Roman" w:hAnsi="Times New Roman"/>
          <w:sz w:val="24"/>
          <w:szCs w:val="24"/>
        </w:rPr>
        <w:t xml:space="preserve"> 17011: 2017. </w:t>
      </w:r>
    </w:p>
    <w:p w:rsidR="00AA7104" w:rsidRPr="009921D7" w:rsidRDefault="009D6B3B" w:rsidP="009921D7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32232427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Skraćenice</w:t>
      </w:r>
      <w:bookmarkEnd w:id="5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965079" w:rsidRPr="00DE678A" w:rsidTr="00FC143B">
        <w:tc>
          <w:tcPr>
            <w:tcW w:w="2122" w:type="dxa"/>
          </w:tcPr>
          <w:p w:rsidR="00E04ECA" w:rsidRDefault="00E04ECA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SA(Savet za Akreditaciju - AS)</w:t>
            </w:r>
          </w:p>
          <w:p w:rsidR="00965079" w:rsidRPr="00DE678A" w:rsidRDefault="00965079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:rsidR="00E04ECA" w:rsidRDefault="00236991" w:rsidP="00E04EC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965079" w:rsidRPr="00DE678A" w:rsidRDefault="00965079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236991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965079" w:rsidRPr="00DE678A" w:rsidTr="00FC143B">
        <w:tc>
          <w:tcPr>
            <w:tcW w:w="2122" w:type="dxa"/>
          </w:tcPr>
          <w:p w:rsidR="00965079" w:rsidRPr="00DE678A" w:rsidRDefault="00965079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965079" w:rsidRPr="00DE678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C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Generalna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Kosovska </w:t>
            </w: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  <w:r w:rsidR="00E04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5079" w:rsidRPr="00DE678A" w:rsidTr="00FC143B">
        <w:tc>
          <w:tcPr>
            <w:tcW w:w="2122" w:type="dxa"/>
          </w:tcPr>
          <w:p w:rsidR="00965079" w:rsidRPr="00DE678A" w:rsidRDefault="00965079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  <w:tc>
          <w:tcPr>
            <w:tcW w:w="7087" w:type="dxa"/>
          </w:tcPr>
          <w:p w:rsidR="00965079" w:rsidRPr="00DE678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965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965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965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965079" w:rsidRPr="00DE678A" w:rsidTr="00FC143B">
        <w:tc>
          <w:tcPr>
            <w:tcW w:w="2122" w:type="dxa"/>
          </w:tcPr>
          <w:p w:rsidR="00965079" w:rsidRPr="00DE678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</w:tc>
        <w:tc>
          <w:tcPr>
            <w:tcW w:w="7087" w:type="dxa"/>
          </w:tcPr>
          <w:p w:rsidR="00965079" w:rsidRPr="00DE678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Međunarodna</w:t>
            </w:r>
            <w:r w:rsidR="00965079">
              <w:rPr>
                <w:rFonts w:ascii="Times New Roman" w:hAnsi="Times New Roman"/>
                <w:sz w:val="24"/>
                <w:szCs w:val="24"/>
              </w:rPr>
              <w:t xml:space="preserve"> Saradnja za Akreditaciju Laboratorija</w:t>
            </w:r>
          </w:p>
        </w:tc>
      </w:tr>
      <w:tr w:rsidR="00965079" w:rsidRPr="00DE678A" w:rsidTr="00FC143B">
        <w:tc>
          <w:tcPr>
            <w:tcW w:w="2122" w:type="dxa"/>
          </w:tcPr>
          <w:p w:rsidR="00E230CA" w:rsidRDefault="00E230CA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:rsidR="00E230CA" w:rsidRPr="00DE678A" w:rsidRDefault="00E230C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:rsidR="00E230C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E23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E230CA" w:rsidRDefault="00236991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E23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</w:t>
            </w:r>
          </w:p>
          <w:p w:rsidR="00E230CA" w:rsidRDefault="00E230CA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E230CA" w:rsidRPr="00DE678A" w:rsidRDefault="00E230CA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472D" w:rsidRPr="00DE678A" w:rsidTr="00C8472D">
        <w:trPr>
          <w:trHeight w:val="80"/>
        </w:trPr>
        <w:tc>
          <w:tcPr>
            <w:tcW w:w="2122" w:type="dxa"/>
          </w:tcPr>
          <w:p w:rsidR="00C8472D" w:rsidRDefault="00C8472D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</w:tcPr>
          <w:p w:rsidR="00C8472D" w:rsidRDefault="00C8472D" w:rsidP="00FC143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4213B" w:rsidRPr="0047720B" w:rsidRDefault="009D6B3B" w:rsidP="0047720B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32232428"/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236991">
        <w:rPr>
          <w:rFonts w:ascii="Times New Roman" w:hAnsi="Times New Roman"/>
          <w:color w:val="000000" w:themeColor="text1"/>
          <w:sz w:val="24"/>
          <w:szCs w:val="24"/>
        </w:rPr>
        <w:t>OPIS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POLITIKE</w:t>
      </w:r>
      <w:bookmarkEnd w:id="6"/>
    </w:p>
    <w:p w:rsidR="009D6B3B" w:rsidRPr="0045401B" w:rsidRDefault="009D6B3B" w:rsidP="0064213B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241934" w:rsidRPr="00BD56DF" w:rsidRDefault="009D6B3B" w:rsidP="00BD56DF">
      <w:pPr>
        <w:pStyle w:val="Heading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bookmarkStart w:id="7" w:name="_Toc32232429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5.1 A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ktivnosti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kriterijumi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DAK-a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za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akreditaciju</w:t>
      </w:r>
      <w:bookmarkEnd w:id="7"/>
    </w:p>
    <w:p w:rsidR="00EB7B83" w:rsidRDefault="00EB7B83" w:rsidP="0036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6584A" w:rsidRPr="00B52B1D" w:rsidRDefault="0036584A" w:rsidP="0036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Shodno </w:t>
      </w:r>
      <w:r w:rsidR="00236991">
        <w:rPr>
          <w:rFonts w:ascii="Times New Roman" w:hAnsi="Times New Roman"/>
          <w:sz w:val="24"/>
          <w:szCs w:val="24"/>
        </w:rPr>
        <w:t>članu</w:t>
      </w:r>
      <w:r>
        <w:rPr>
          <w:rFonts w:ascii="Times New Roman" w:hAnsi="Times New Roman"/>
          <w:sz w:val="24"/>
          <w:szCs w:val="24"/>
        </w:rPr>
        <w:t xml:space="preserve"> 7 </w:t>
      </w:r>
      <w:r w:rsidR="00236991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05 / </w:t>
      </w:r>
      <w:r w:rsidR="0023699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-117, </w:t>
      </w:r>
      <w:r w:rsidR="00236991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ovlašćen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akreditaciju</w:t>
      </w:r>
      <w:r>
        <w:rPr>
          <w:rFonts w:ascii="Times New Roman" w:hAnsi="Times New Roman"/>
          <w:sz w:val="24"/>
          <w:szCs w:val="24"/>
        </w:rPr>
        <w:t>:</w:t>
      </w:r>
    </w:p>
    <w:p w:rsidR="0036584A" w:rsidRPr="00B52B1D" w:rsidRDefault="0036584A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36991">
        <w:rPr>
          <w:rFonts w:ascii="Times New Roman" w:hAnsi="Times New Roman"/>
          <w:sz w:val="24"/>
          <w:szCs w:val="24"/>
        </w:rPr>
        <w:t>aboratorij</w:t>
      </w:r>
      <w:r>
        <w:rPr>
          <w:rFonts w:ascii="Times New Roman" w:hAnsi="Times New Roman"/>
          <w:sz w:val="24"/>
          <w:szCs w:val="24"/>
        </w:rPr>
        <w:t>a za testiranje i kalibraciju,</w:t>
      </w:r>
    </w:p>
    <w:p w:rsidR="0036584A" w:rsidRPr="00B52B1D" w:rsidRDefault="00236991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medicinske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36584A">
        <w:rPr>
          <w:rFonts w:ascii="Times New Roman" w:hAnsi="Times New Roman"/>
          <w:sz w:val="24"/>
          <w:szCs w:val="24"/>
        </w:rPr>
        <w:t>,</w:t>
      </w:r>
    </w:p>
    <w:p w:rsidR="0036584A" w:rsidRPr="00B52B1D" w:rsidRDefault="00236991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Inspekcijsk</w:t>
      </w:r>
      <w:r w:rsidR="0036584A">
        <w:rPr>
          <w:rFonts w:ascii="Times New Roman" w:hAnsi="Times New Roman"/>
          <w:sz w:val="24"/>
          <w:szCs w:val="24"/>
        </w:rPr>
        <w:t>e organe;</w:t>
      </w:r>
    </w:p>
    <w:p w:rsidR="0036584A" w:rsidRPr="00B52B1D" w:rsidRDefault="0036584A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organa </w:t>
      </w:r>
      <w:r w:rsidR="0023699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sertifikaciju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proizvoda</w:t>
      </w:r>
      <w:r>
        <w:rPr>
          <w:rFonts w:ascii="Times New Roman" w:hAnsi="Times New Roman"/>
          <w:sz w:val="24"/>
          <w:szCs w:val="24"/>
        </w:rPr>
        <w:t>;</w:t>
      </w:r>
    </w:p>
    <w:p w:rsidR="0036584A" w:rsidRPr="00B52B1D" w:rsidRDefault="0036584A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organa za </w:t>
      </w:r>
      <w:r w:rsidR="00236991">
        <w:rPr>
          <w:rFonts w:ascii="Times New Roman" w:hAnsi="Times New Roman"/>
          <w:sz w:val="24"/>
          <w:szCs w:val="24"/>
        </w:rPr>
        <w:t>sertifikaciju</w:t>
      </w:r>
      <w:r>
        <w:rPr>
          <w:rFonts w:ascii="Times New Roman" w:hAnsi="Times New Roman"/>
          <w:sz w:val="24"/>
          <w:szCs w:val="24"/>
        </w:rPr>
        <w:t xml:space="preserve"> sistema </w:t>
      </w:r>
      <w:proofErr w:type="spellStart"/>
      <w:r w:rsidR="00236991">
        <w:rPr>
          <w:rFonts w:ascii="Times New Roman" w:hAnsi="Times New Roman"/>
          <w:sz w:val="24"/>
          <w:szCs w:val="24"/>
        </w:rPr>
        <w:t>upravlјanj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(kvaliteta, </w:t>
      </w:r>
      <w:r w:rsidR="00236991">
        <w:rPr>
          <w:rFonts w:ascii="Times New Roman" w:hAnsi="Times New Roman"/>
          <w:sz w:val="24"/>
          <w:szCs w:val="24"/>
        </w:rPr>
        <w:t>životne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sredine</w:t>
      </w:r>
      <w:r>
        <w:rPr>
          <w:rFonts w:ascii="Times New Roman" w:hAnsi="Times New Roman"/>
          <w:sz w:val="24"/>
          <w:szCs w:val="24"/>
        </w:rPr>
        <w:t xml:space="preserve">, </w:t>
      </w:r>
      <w:r w:rsidR="00236991">
        <w:rPr>
          <w:rFonts w:ascii="Times New Roman" w:hAnsi="Times New Roman"/>
          <w:sz w:val="24"/>
          <w:szCs w:val="24"/>
        </w:rPr>
        <w:t>itd</w:t>
      </w:r>
      <w:r>
        <w:rPr>
          <w:rFonts w:ascii="Times New Roman" w:hAnsi="Times New Roman"/>
          <w:sz w:val="24"/>
          <w:szCs w:val="24"/>
        </w:rPr>
        <w:t>.);</w:t>
      </w:r>
    </w:p>
    <w:p w:rsidR="0036584A" w:rsidRPr="00B52B1D" w:rsidRDefault="0036584A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organa </w:t>
      </w:r>
      <w:r w:rsidR="0023699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236991">
        <w:rPr>
          <w:rFonts w:ascii="Times New Roman" w:hAnsi="Times New Roman"/>
          <w:sz w:val="24"/>
          <w:szCs w:val="24"/>
        </w:rPr>
        <w:t>sertifikaciju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991">
        <w:rPr>
          <w:rFonts w:ascii="Times New Roman" w:hAnsi="Times New Roman"/>
          <w:sz w:val="24"/>
          <w:szCs w:val="24"/>
        </w:rPr>
        <w:t>osoblјa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6584A" w:rsidRPr="00B52B1D" w:rsidRDefault="00236991" w:rsidP="0036584A">
      <w:pPr>
        <w:pStyle w:val="ListParagraph"/>
        <w:numPr>
          <w:ilvl w:val="1"/>
          <w:numId w:val="7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36584A">
        <w:rPr>
          <w:rFonts w:ascii="Times New Roman" w:hAnsi="Times New Roman"/>
          <w:sz w:val="24"/>
          <w:szCs w:val="24"/>
        </w:rPr>
        <w:t>.</w:t>
      </w:r>
    </w:p>
    <w:p w:rsidR="008968A3" w:rsidRPr="00B52B1D" w:rsidRDefault="008968A3" w:rsidP="0089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7B83" w:rsidRPr="00B52B1D" w:rsidRDefault="00236991" w:rsidP="00EB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 w:rsidR="00EB7B83">
        <w:rPr>
          <w:rFonts w:ascii="Times New Roman" w:hAnsi="Times New Roman"/>
          <w:sz w:val="24"/>
          <w:szCs w:val="24"/>
        </w:rPr>
        <w:t xml:space="preserve">. 05 / </w:t>
      </w:r>
      <w:r>
        <w:rPr>
          <w:rFonts w:ascii="Times New Roman" w:hAnsi="Times New Roman"/>
          <w:sz w:val="24"/>
          <w:szCs w:val="24"/>
        </w:rPr>
        <w:t>L</w:t>
      </w:r>
      <w:r w:rsidR="00EB7B83">
        <w:rPr>
          <w:rFonts w:ascii="Times New Roman" w:hAnsi="Times New Roman"/>
          <w:sz w:val="24"/>
          <w:szCs w:val="24"/>
        </w:rPr>
        <w:t xml:space="preserve">-117, </w:t>
      </w:r>
      <w:r>
        <w:rPr>
          <w:rFonts w:ascii="Times New Roman" w:hAnsi="Times New Roman"/>
          <w:sz w:val="24"/>
          <w:szCs w:val="24"/>
        </w:rPr>
        <w:t>kriterijumi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zasnivaju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relevantnim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evropskim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usklađenim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standardima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međunarodnim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standardima</w:t>
      </w:r>
      <w:r w:rsidR="00EB7B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kao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dokumentima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izdale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međunarodne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EB7B83">
        <w:rPr>
          <w:rFonts w:ascii="Times New Roman" w:hAnsi="Times New Roman"/>
          <w:sz w:val="24"/>
          <w:szCs w:val="24"/>
        </w:rPr>
        <w:t xml:space="preserve">.   </w:t>
      </w:r>
    </w:p>
    <w:p w:rsidR="00EB7B83" w:rsidRPr="0045401B" w:rsidRDefault="00EB7B83" w:rsidP="003658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6584A" w:rsidRPr="00B52B1D" w:rsidRDefault="00236991" w:rsidP="003658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Trenutno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nudi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sledeća</w:t>
      </w:r>
      <w:r w:rsidR="0036584A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programa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 xml:space="preserve"> naspram </w:t>
      </w:r>
      <w:proofErr w:type="spellStart"/>
      <w:r w:rsidR="0036584A">
        <w:rPr>
          <w:rFonts w:ascii="Times New Roman" w:hAnsi="Times New Roman"/>
          <w:sz w:val="24"/>
          <w:szCs w:val="24"/>
        </w:rPr>
        <w:t>napomenutim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standarda </w:t>
      </w:r>
      <w:r>
        <w:rPr>
          <w:rFonts w:ascii="Times New Roman" w:hAnsi="Times New Roman"/>
          <w:sz w:val="24"/>
          <w:szCs w:val="24"/>
        </w:rPr>
        <w:t>shem</w:t>
      </w:r>
      <w:r w:rsidR="0036584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>:</w:t>
      </w:r>
    </w:p>
    <w:p w:rsidR="0036584A" w:rsidRPr="00B52B1D" w:rsidRDefault="0036584A" w:rsidP="0036584A">
      <w:pPr>
        <w:pStyle w:val="ListParagraph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36991">
        <w:rPr>
          <w:rFonts w:ascii="Times New Roman" w:hAnsi="Times New Roman"/>
          <w:sz w:val="24"/>
          <w:szCs w:val="24"/>
        </w:rPr>
        <w:t>aboratorije</w:t>
      </w:r>
      <w:r>
        <w:rPr>
          <w:rFonts w:ascii="Times New Roman" w:hAnsi="Times New Roman"/>
          <w:sz w:val="24"/>
          <w:szCs w:val="24"/>
        </w:rPr>
        <w:t xml:space="preserve"> za testiranje ISO/IEC 17025:2005 </w:t>
      </w:r>
      <w:r w:rsidR="002369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ISO/IEC 17025:2017 (vidi DAK-PO-11 o tranziciji)</w:t>
      </w:r>
    </w:p>
    <w:p w:rsidR="0036584A" w:rsidRPr="00B52B1D" w:rsidRDefault="0036584A" w:rsidP="0045401B">
      <w:pPr>
        <w:pStyle w:val="ListParagraph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laboratorije za kalibraciju ISO/IEC 17025:2005 i ISO/IEC 17025:2017 (vidi DAK-PO-11 o tranziciji)</w:t>
      </w:r>
    </w:p>
    <w:p w:rsidR="0036584A" w:rsidRPr="00E80CDD" w:rsidRDefault="00236991" w:rsidP="0045401B">
      <w:pPr>
        <w:pStyle w:val="ListParagraph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inspekcijski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</w:t>
      </w:r>
      <w:r w:rsidR="0036584A">
        <w:rPr>
          <w:rFonts w:ascii="Times New Roman" w:hAnsi="Times New Roman"/>
          <w:sz w:val="24"/>
          <w:szCs w:val="24"/>
        </w:rPr>
        <w:t xml:space="preserve"> naspram </w:t>
      </w:r>
      <w:r>
        <w:rPr>
          <w:rFonts w:ascii="Times New Roman" w:hAnsi="Times New Roman"/>
          <w:sz w:val="24"/>
          <w:szCs w:val="24"/>
        </w:rPr>
        <w:t>ISO</w:t>
      </w:r>
      <w:r w:rsidR="0036584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36584A">
        <w:rPr>
          <w:rFonts w:ascii="Times New Roman" w:hAnsi="Times New Roman"/>
          <w:sz w:val="24"/>
          <w:szCs w:val="24"/>
        </w:rPr>
        <w:t xml:space="preserve"> 17020: 2012. </w:t>
      </w:r>
    </w:p>
    <w:p w:rsidR="00EC0107" w:rsidRDefault="00EC0107" w:rsidP="0034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04ECA" w:rsidRDefault="00236991" w:rsidP="0034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Kriterijumi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E04EC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važeće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standarde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sheme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E04E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obavezna</w:t>
      </w:r>
      <w:r w:rsidR="00E04ECA">
        <w:rPr>
          <w:rFonts w:ascii="Times New Roman" w:hAnsi="Times New Roman"/>
          <w:sz w:val="24"/>
          <w:szCs w:val="24"/>
        </w:rPr>
        <w:t xml:space="preserve"> dokumentacija i smernice </w:t>
      </w:r>
      <w:r>
        <w:rPr>
          <w:rFonts w:ascii="Times New Roman" w:hAnsi="Times New Roman"/>
          <w:sz w:val="24"/>
          <w:szCs w:val="24"/>
        </w:rPr>
        <w:t>koj</w:t>
      </w:r>
      <w:r w:rsidR="00E04EC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su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izdali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E04E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EA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04EC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tehnička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područja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Tabeli</w:t>
      </w:r>
      <w:r w:rsidR="00E04ECA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Tabeli</w:t>
      </w:r>
      <w:r w:rsidR="00E04ECA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PO</w:t>
      </w:r>
      <w:r w:rsidR="00E04ECA">
        <w:rPr>
          <w:rFonts w:ascii="Times New Roman" w:hAnsi="Times New Roman"/>
          <w:sz w:val="24"/>
          <w:szCs w:val="24"/>
        </w:rPr>
        <w:t>-03-</w:t>
      </w:r>
      <w:r>
        <w:rPr>
          <w:rFonts w:ascii="Times New Roman" w:hAnsi="Times New Roman"/>
          <w:sz w:val="24"/>
          <w:szCs w:val="24"/>
        </w:rPr>
        <w:t>Aneksa</w:t>
      </w:r>
      <w:r w:rsidR="00E04ECA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i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E04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dostupni</w:t>
      </w:r>
      <w:r w:rsidR="00E04ECA">
        <w:rPr>
          <w:rFonts w:ascii="Times New Roman" w:hAnsi="Times New Roman"/>
          <w:sz w:val="24"/>
          <w:szCs w:val="24"/>
        </w:rPr>
        <w:t xml:space="preserve"> na internet stranicu DAK-a. </w:t>
      </w:r>
    </w:p>
    <w:p w:rsidR="00EB7B83" w:rsidRDefault="00EB7B83" w:rsidP="0034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7B83" w:rsidRPr="00B52B1D" w:rsidRDefault="00236991" w:rsidP="00EB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daje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B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fleksibilan</w:t>
      </w:r>
      <w:r w:rsidR="00EB7B83">
        <w:rPr>
          <w:rFonts w:ascii="Times New Roman" w:hAnsi="Times New Roman"/>
          <w:sz w:val="24"/>
          <w:szCs w:val="24"/>
        </w:rPr>
        <w:t xml:space="preserve"> delokrug.</w:t>
      </w:r>
    </w:p>
    <w:p w:rsidR="00E04ECA" w:rsidRDefault="00E04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6239AF" w:rsidRDefault="00C60453" w:rsidP="006239AF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8" w:name="_Toc3223243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5.2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Proširenje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DAK-ove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aktivnosti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akreditacije</w:t>
      </w:r>
      <w:bookmarkEnd w:id="8"/>
    </w:p>
    <w:p w:rsidR="00241934" w:rsidRPr="00B52B1D" w:rsidRDefault="00241934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6584A" w:rsidRPr="00B52B1D" w:rsidRDefault="00236991" w:rsidP="00C8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proširiti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novih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npr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Medicinske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laboratorije</w:t>
      </w:r>
      <w:r w:rsidR="0036584A">
        <w:rPr>
          <w:rFonts w:ascii="Times New Roman" w:hAnsi="Times New Roman"/>
          <w:sz w:val="24"/>
          <w:szCs w:val="24"/>
        </w:rPr>
        <w:t xml:space="preserve">, organi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sertifikaciju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proizvoda</w:t>
      </w:r>
      <w:r w:rsidR="0036584A">
        <w:rPr>
          <w:rFonts w:ascii="Times New Roman" w:hAnsi="Times New Roman"/>
          <w:sz w:val="24"/>
          <w:szCs w:val="24"/>
        </w:rPr>
        <w:t xml:space="preserve">, organi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sertifikaciju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upravlјanja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sertifik</w:t>
      </w:r>
      <w:bookmarkStart w:id="9" w:name="_GoBack"/>
      <w:bookmarkEnd w:id="9"/>
      <w:r>
        <w:rPr>
          <w:rFonts w:ascii="Times New Roman" w:hAnsi="Times New Roman"/>
          <w:sz w:val="24"/>
          <w:szCs w:val="24"/>
        </w:rPr>
        <w:t>aciona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36584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ili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ocenjivanje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postojeće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potreba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izražena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tržišta</w:t>
      </w:r>
      <w:r w:rsidR="0036584A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zahtev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nadležnih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zakonodavstvo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nameće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proširuje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</w:t>
      </w:r>
      <w:r w:rsidR="0036584A">
        <w:rPr>
          <w:rFonts w:ascii="Times New Roman" w:hAnsi="Times New Roman"/>
          <w:sz w:val="24"/>
          <w:szCs w:val="24"/>
        </w:rPr>
        <w:t xml:space="preserve"> ukoliko </w:t>
      </w:r>
      <w:r>
        <w:rPr>
          <w:rFonts w:ascii="Times New Roman" w:hAnsi="Times New Roman"/>
          <w:sz w:val="24"/>
          <w:szCs w:val="24"/>
        </w:rPr>
        <w:t>standardn</w:t>
      </w:r>
      <w:r w:rsidR="0036584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akreditacij</w:t>
      </w:r>
      <w:r w:rsidR="0036584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snazi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evropskom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međunarodnom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nivou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Ovo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proširenje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36584A">
        <w:rPr>
          <w:rFonts w:ascii="Times New Roman" w:hAnsi="Times New Roman"/>
          <w:sz w:val="24"/>
          <w:szCs w:val="24"/>
        </w:rPr>
        <w:t xml:space="preserve"> vrši se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politikom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novih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PO</w:t>
      </w:r>
      <w:r w:rsidR="0036584A">
        <w:rPr>
          <w:rFonts w:ascii="Times New Roman" w:hAnsi="Times New Roman"/>
          <w:sz w:val="24"/>
          <w:szCs w:val="24"/>
        </w:rPr>
        <w:t>-08).</w:t>
      </w:r>
    </w:p>
    <w:p w:rsidR="007B2A5A" w:rsidRPr="00B52B1D" w:rsidRDefault="007B2A5A" w:rsidP="004B666D">
      <w:pPr>
        <w:pStyle w:val="Heading1"/>
        <w:spacing w:before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GB"/>
        </w:rPr>
      </w:pPr>
    </w:p>
    <w:p w:rsidR="00241934" w:rsidRPr="00F864B9" w:rsidRDefault="00C60453" w:rsidP="00F864B9">
      <w:pPr>
        <w:pStyle w:val="Heading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bookmarkStart w:id="10" w:name="_Toc32232431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5.3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Promene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kriterijuma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za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6991">
        <w:rPr>
          <w:rFonts w:ascii="Times New Roman" w:hAnsi="Times New Roman"/>
          <w:b/>
          <w:color w:val="000000" w:themeColor="text1"/>
          <w:sz w:val="24"/>
          <w:szCs w:val="24"/>
        </w:rPr>
        <w:t>akreditaciju</w:t>
      </w:r>
      <w:bookmarkEnd w:id="1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6584A" w:rsidRPr="00B52B1D" w:rsidRDefault="0036584A" w:rsidP="003658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628E9" w:rsidRDefault="00236991" w:rsidP="00A62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standard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sheme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revidira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objavi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priprema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politikama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36584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ILAC</w:t>
      </w:r>
      <w:r w:rsidR="003658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plan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tranzicije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OOU.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pismeno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obaveštava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</w:t>
      </w:r>
      <w:r w:rsidR="0036584A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akreditovan</w:t>
      </w:r>
      <w:r w:rsidR="0036584A">
        <w:rPr>
          <w:rFonts w:ascii="Times New Roman" w:hAnsi="Times New Roman"/>
          <w:sz w:val="24"/>
          <w:szCs w:val="24"/>
        </w:rPr>
        <w:t xml:space="preserve">u OOU i </w:t>
      </w:r>
      <w:r>
        <w:rPr>
          <w:rFonts w:ascii="Times New Roman" w:hAnsi="Times New Roman"/>
          <w:sz w:val="24"/>
          <w:szCs w:val="24"/>
        </w:rPr>
        <w:t>podnosioc</w:t>
      </w:r>
      <w:r w:rsidR="0036584A">
        <w:rPr>
          <w:rFonts w:ascii="Times New Roman" w:hAnsi="Times New Roman"/>
          <w:sz w:val="24"/>
          <w:szCs w:val="24"/>
        </w:rPr>
        <w:t xml:space="preserve">e </w:t>
      </w:r>
      <w:r w:rsidR="0036584A">
        <w:rPr>
          <w:rFonts w:ascii="Times New Roman" w:hAnsi="Times New Roman"/>
          <w:sz w:val="24"/>
          <w:szCs w:val="24"/>
        </w:rPr>
        <w:lastRenderedPageBreak/>
        <w:t xml:space="preserve">zahteva </w:t>
      </w:r>
      <w:r>
        <w:rPr>
          <w:rFonts w:ascii="Times New Roman" w:hAnsi="Times New Roman"/>
          <w:sz w:val="24"/>
          <w:szCs w:val="24"/>
        </w:rPr>
        <w:t>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tranzicije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stavlјa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raspolaganje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svojoj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veb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stranici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organizuje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obuke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prelaznog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perioda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promenama</w:t>
      </w:r>
      <w:r w:rsidR="00365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Pored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toga</w:t>
      </w:r>
      <w:r w:rsidR="003658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organizovati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6584A">
        <w:rPr>
          <w:rFonts w:ascii="Times New Roman" w:hAnsi="Times New Roman"/>
          <w:sz w:val="24"/>
          <w:szCs w:val="24"/>
        </w:rPr>
        <w:t xml:space="preserve"> OOU </w:t>
      </w:r>
      <w:r>
        <w:rPr>
          <w:rFonts w:ascii="Times New Roman" w:hAnsi="Times New Roman"/>
          <w:sz w:val="24"/>
          <w:szCs w:val="24"/>
        </w:rPr>
        <w:t>da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pružili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informacije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365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promenama</w:t>
      </w:r>
      <w:r w:rsidR="0036584A">
        <w:rPr>
          <w:rFonts w:ascii="Times New Roman" w:hAnsi="Times New Roman"/>
          <w:sz w:val="24"/>
          <w:szCs w:val="24"/>
        </w:rPr>
        <w:t>.</w:t>
      </w:r>
    </w:p>
    <w:p w:rsidR="00A16D3B" w:rsidRDefault="00A16D3B" w:rsidP="00A62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46D92" w:rsidRDefault="00236991" w:rsidP="00A62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D9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objave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revidirani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 w:rsidR="00646D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tada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objavlјuje</w:t>
      </w:r>
      <w:proofErr w:type="spellEnd"/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svojoj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veb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stranici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pismenim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putem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obaveštava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relevantne</w:t>
      </w:r>
      <w:r w:rsidR="00646D92">
        <w:rPr>
          <w:rFonts w:ascii="Times New Roman" w:hAnsi="Times New Roman"/>
          <w:sz w:val="24"/>
          <w:szCs w:val="24"/>
        </w:rPr>
        <w:t xml:space="preserve"> OOU-e </w:t>
      </w:r>
      <w:r>
        <w:rPr>
          <w:rFonts w:ascii="Times New Roman" w:hAnsi="Times New Roman"/>
          <w:sz w:val="24"/>
          <w:szCs w:val="24"/>
        </w:rPr>
        <w:t>o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datumu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primene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prelaznim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periodom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navedenim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dokumentu</w:t>
      </w:r>
      <w:r w:rsidR="00646D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DAK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organizuje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obuke</w:t>
      </w:r>
      <w:r w:rsidR="00646D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prelaznog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perioda</w:t>
      </w:r>
      <w:r w:rsidR="00646D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646D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646D92">
        <w:rPr>
          <w:rFonts w:ascii="Times New Roman" w:hAnsi="Times New Roman"/>
          <w:sz w:val="24"/>
          <w:szCs w:val="24"/>
        </w:rPr>
        <w:t xml:space="preserve"> novim ili revidiranim dokumentima.</w:t>
      </w:r>
    </w:p>
    <w:p w:rsidR="00A16D3B" w:rsidRPr="0008551A" w:rsidRDefault="00A16D3B" w:rsidP="0008551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32232432"/>
      <w:r>
        <w:rPr>
          <w:rFonts w:ascii="Times New Roman" w:hAnsi="Times New Roman"/>
          <w:color w:val="000000" w:themeColor="text1"/>
          <w:sz w:val="24"/>
          <w:szCs w:val="24"/>
        </w:rPr>
        <w:t>6. ANEKSI</w:t>
      </w:r>
      <w:bookmarkEnd w:id="11"/>
    </w:p>
    <w:p w:rsidR="00A16D3B" w:rsidRDefault="00A16D3B" w:rsidP="00A62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46D92" w:rsidRDefault="00236991" w:rsidP="00A62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646D92">
        <w:rPr>
          <w:rFonts w:ascii="Times New Roman" w:hAnsi="Times New Roman"/>
          <w:sz w:val="24"/>
          <w:szCs w:val="24"/>
        </w:rPr>
        <w:t>-03-</w:t>
      </w:r>
      <w:r>
        <w:rPr>
          <w:rFonts w:ascii="Times New Roman" w:hAnsi="Times New Roman"/>
          <w:sz w:val="24"/>
          <w:szCs w:val="24"/>
        </w:rPr>
        <w:t>Aneks</w:t>
      </w:r>
      <w:r w:rsidR="00646D92">
        <w:rPr>
          <w:rFonts w:ascii="Times New Roman" w:hAnsi="Times New Roman"/>
          <w:sz w:val="24"/>
          <w:szCs w:val="24"/>
        </w:rPr>
        <w:t xml:space="preserve"> 1 A</w:t>
      </w:r>
      <w:r>
        <w:rPr>
          <w:rFonts w:ascii="Times New Roman" w:hAnsi="Times New Roman"/>
          <w:sz w:val="24"/>
          <w:szCs w:val="24"/>
        </w:rPr>
        <w:t>ktivnosti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kriterijumi</w:t>
      </w:r>
      <w:r w:rsidR="00646D92">
        <w:rPr>
          <w:rFonts w:ascii="Times New Roman" w:hAnsi="Times New Roman"/>
          <w:sz w:val="24"/>
          <w:szCs w:val="24"/>
        </w:rPr>
        <w:t xml:space="preserve"> akreditacije</w:t>
      </w:r>
    </w:p>
    <w:p w:rsidR="00A16D3B" w:rsidRPr="00483541" w:rsidRDefault="00A16D3B" w:rsidP="00483541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2" w:name="_Toc32232433"/>
      <w:r>
        <w:rPr>
          <w:rFonts w:ascii="Times New Roman" w:hAnsi="Times New Roman"/>
          <w:color w:val="000000" w:themeColor="text1"/>
          <w:sz w:val="24"/>
          <w:szCs w:val="24"/>
        </w:rPr>
        <w:t>7. ZAPISI</w:t>
      </w:r>
      <w:bookmarkEnd w:id="12"/>
      <w:r>
        <w:rPr>
          <w:rFonts w:ascii="Times New Roman" w:hAnsi="Times New Roman"/>
          <w:sz w:val="24"/>
          <w:szCs w:val="24"/>
        </w:rPr>
        <w:tab/>
      </w:r>
    </w:p>
    <w:p w:rsidR="0036584A" w:rsidRDefault="0036584A" w:rsidP="0036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46D92" w:rsidRPr="00B52B1D" w:rsidRDefault="00236991" w:rsidP="0036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646D9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982F06" w:rsidRPr="00B50A78" w:rsidRDefault="004C6B59" w:rsidP="00B50A7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421093105"/>
      <w:bookmarkStart w:id="14" w:name="_Toc32232434"/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36991">
        <w:rPr>
          <w:rFonts w:ascii="Times New Roman" w:hAnsi="Times New Roman"/>
          <w:color w:val="000000" w:themeColor="text1"/>
          <w:sz w:val="24"/>
          <w:szCs w:val="24"/>
        </w:rPr>
        <w:t>ISTORIJA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bookmarkEnd w:id="13"/>
      <w:bookmarkEnd w:id="14"/>
    </w:p>
    <w:p w:rsidR="00982F06" w:rsidRPr="00B52B1D" w:rsidRDefault="00982F06" w:rsidP="0098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540"/>
        <w:gridCol w:w="4765"/>
      </w:tblGrid>
      <w:tr w:rsidR="00B52B1D" w:rsidRPr="00B52B1D" w:rsidTr="00880AFC">
        <w:tc>
          <w:tcPr>
            <w:tcW w:w="1206" w:type="pct"/>
            <w:vAlign w:val="center"/>
          </w:tcPr>
          <w:p w:rsidR="00982F06" w:rsidRPr="00B52B1D" w:rsidRDefault="00880AFC" w:rsidP="00982F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6991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izdanja: </w:t>
            </w:r>
          </w:p>
        </w:tc>
        <w:tc>
          <w:tcPr>
            <w:tcW w:w="1319" w:type="pct"/>
            <w:vAlign w:val="center"/>
          </w:tcPr>
          <w:p w:rsidR="00982F06" w:rsidRPr="00B52B1D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Pripremi</w:t>
            </w:r>
            <w:r w:rsidR="00982F06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982F06" w:rsidRPr="00B52B1D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98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primenjenih</w:t>
            </w:r>
            <w:r w:rsidR="0098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promena</w:t>
            </w:r>
            <w:r w:rsidR="00982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52B1D" w:rsidRPr="00B52B1D" w:rsidTr="00880AFC">
        <w:tc>
          <w:tcPr>
            <w:tcW w:w="1206" w:type="pct"/>
            <w:vAlign w:val="center"/>
          </w:tcPr>
          <w:p w:rsidR="00982F06" w:rsidRPr="00B52B1D" w:rsidRDefault="00E82A81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1319" w:type="pct"/>
            <w:vAlign w:val="center"/>
          </w:tcPr>
          <w:p w:rsidR="00982F06" w:rsidRPr="00B52B1D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Ibush</w:t>
            </w:r>
            <w:proofErr w:type="spellEnd"/>
            <w:r w:rsidR="004B6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B52B1D" w:rsidRDefault="00236991" w:rsidP="00E8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E82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r w:rsidR="00E82A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B1D" w:rsidRPr="00B52B1D" w:rsidTr="00880AFC">
        <w:tc>
          <w:tcPr>
            <w:tcW w:w="1206" w:type="pct"/>
            <w:vAlign w:val="center"/>
          </w:tcPr>
          <w:p w:rsidR="00982F06" w:rsidRPr="00B52B1D" w:rsidRDefault="00044FF4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11.03.2016</w:t>
            </w:r>
          </w:p>
        </w:tc>
        <w:tc>
          <w:tcPr>
            <w:tcW w:w="1319" w:type="pct"/>
            <w:vAlign w:val="center"/>
          </w:tcPr>
          <w:p w:rsidR="00982F06" w:rsidRPr="00B52B1D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Ibush</w:t>
            </w:r>
            <w:proofErr w:type="spellEnd"/>
            <w:r w:rsidR="004B0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B52B1D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Poglavlјe</w:t>
            </w:r>
            <w:proofErr w:type="spellEnd"/>
            <w:r w:rsidR="004B0CE1">
              <w:rPr>
                <w:rFonts w:ascii="Times New Roman" w:hAnsi="Times New Roman"/>
              </w:rPr>
              <w:t xml:space="preserve"> 3.1 </w:t>
            </w:r>
            <w:r>
              <w:rPr>
                <w:rFonts w:ascii="Times New Roman" w:hAnsi="Times New Roman"/>
              </w:rPr>
              <w:t>je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izmenjeno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4B0CE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uklјučuje</w:t>
            </w:r>
            <w:proofErr w:type="spellEnd"/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obavezne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dokumente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DAK</w:t>
            </w:r>
            <w:r w:rsidR="004B0CE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a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kriterijume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akreditaciju</w:t>
            </w:r>
            <w:r w:rsidR="004B0CE1">
              <w:rPr>
                <w:rFonts w:ascii="Times New Roman" w:hAnsi="Times New Roman"/>
              </w:rPr>
              <w:t xml:space="preserve">. Izmene </w:t>
            </w:r>
            <w:r>
              <w:rPr>
                <w:rFonts w:ascii="Times New Roman" w:hAnsi="Times New Roman"/>
              </w:rPr>
              <w:t>su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plavom</w:t>
            </w:r>
            <w:r w:rsidR="004B0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fontu</w:t>
            </w:r>
            <w:r w:rsidR="004B0CE1">
              <w:rPr>
                <w:rFonts w:ascii="Times New Roman" w:hAnsi="Times New Roman"/>
              </w:rPr>
              <w:t>.</w:t>
            </w:r>
          </w:p>
        </w:tc>
      </w:tr>
      <w:tr w:rsidR="00A628E9" w:rsidRPr="00B52B1D" w:rsidTr="00880AFC">
        <w:tc>
          <w:tcPr>
            <w:tcW w:w="1206" w:type="pct"/>
            <w:vAlign w:val="center"/>
          </w:tcPr>
          <w:p w:rsidR="00A628E9" w:rsidRPr="000F2F36" w:rsidRDefault="00E7255F" w:rsidP="00982F0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319" w:type="pct"/>
            <w:vAlign w:val="center"/>
          </w:tcPr>
          <w:p w:rsidR="00A628E9" w:rsidRPr="000F2F36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8A21D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:rsidR="00A628E9" w:rsidRPr="000F2F36" w:rsidRDefault="00236991" w:rsidP="00982F0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Potpuna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za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usklađivanje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ISO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IEC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17011: 2017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DAK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PM</w:t>
            </w:r>
            <w:r w:rsidR="00A37E0B">
              <w:rPr>
                <w:rFonts w:ascii="Times New Roman" w:hAnsi="Times New Roman"/>
                <w:color w:val="0070C0"/>
                <w:sz w:val="24"/>
                <w:szCs w:val="24"/>
              </w:rPr>
              <w:t>-01</w:t>
            </w:r>
          </w:p>
        </w:tc>
      </w:tr>
    </w:tbl>
    <w:p w:rsidR="00241934" w:rsidRPr="00B52B1D" w:rsidRDefault="00241934" w:rsidP="005851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B52B1D" w:rsidRDefault="00241934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B52B1D" w:rsidRDefault="00241934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41934" w:rsidRPr="00B52B1D" w:rsidRDefault="00241934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Default="000F2F36" w:rsidP="00DA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P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F2F36" w:rsidRDefault="000F2F36" w:rsidP="000F2F3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24952" w:rsidRPr="000F2F36" w:rsidRDefault="000F2F36" w:rsidP="000F2F36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24952" w:rsidRPr="000F2F36" w:rsidSect="00456863">
      <w:headerReference w:type="default" r:id="rId9"/>
      <w:footerReference w:type="default" r:id="rId10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A7" w:rsidRDefault="004C46A7" w:rsidP="00905279">
      <w:pPr>
        <w:spacing w:after="0" w:line="240" w:lineRule="auto"/>
      </w:pPr>
      <w:r>
        <w:separator/>
      </w:r>
    </w:p>
  </w:endnote>
  <w:endnote w:type="continuationSeparator" w:id="0">
    <w:p w:rsidR="004C46A7" w:rsidRDefault="004C46A7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9"/>
      <w:gridCol w:w="4258"/>
    </w:tblGrid>
    <w:tr w:rsidR="00905279" w:rsidRPr="00D06170" w:rsidTr="00A67B31">
      <w:tc>
        <w:tcPr>
          <w:tcW w:w="5495" w:type="dxa"/>
        </w:tcPr>
        <w:p w:rsidR="00236991" w:rsidRDefault="00236991" w:rsidP="00DC1044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DAK-PP-03- Politika o aktivnostima i kriterijumima DAK-a za akreditaciju </w:t>
          </w:r>
        </w:p>
        <w:p w:rsidR="00427B62" w:rsidRPr="00854AEC" w:rsidRDefault="00236991" w:rsidP="00DC1044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3 dana 15.11.2019</w:t>
          </w:r>
        </w:p>
      </w:tc>
      <w:tc>
        <w:tcPr>
          <w:tcW w:w="4358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06170" w:rsidRPr="00D06170" w:rsidRDefault="00236991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sz w:val="16"/>
                  <w:szCs w:val="16"/>
                </w:rPr>
                <w:t>S</w:t>
              </w:r>
              <w:r>
                <w:rPr>
                  <w:rFonts w:ascii="Times New Roman" w:hAnsi="Times New Roman"/>
                  <w:sz w:val="16"/>
                  <w:szCs w:val="16"/>
                </w:rPr>
                <w:t xml:space="preserve">tranica 1 od </w:t>
              </w:r>
              <w:r w:rsidR="00775347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905279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775347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C8472D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  <w:r w:rsidR="00775347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:rsidR="00905279" w:rsidRPr="00D06170" w:rsidRDefault="0090527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:rsidR="00905279" w:rsidRDefault="0090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A7" w:rsidRDefault="004C46A7" w:rsidP="00905279">
      <w:pPr>
        <w:spacing w:after="0" w:line="240" w:lineRule="auto"/>
      </w:pPr>
      <w:r>
        <w:separator/>
      </w:r>
    </w:p>
  </w:footnote>
  <w:footnote w:type="continuationSeparator" w:id="0">
    <w:p w:rsidR="004C46A7" w:rsidRDefault="004C46A7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E0" w:rsidRDefault="00F062E0">
    <w:pPr>
      <w:pStyle w:val="Header"/>
    </w:pPr>
  </w:p>
  <w:p w:rsidR="00E203B5" w:rsidRDefault="00E2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00C"/>
    <w:multiLevelType w:val="hybridMultilevel"/>
    <w:tmpl w:val="8B166C6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483F04"/>
    <w:multiLevelType w:val="hybridMultilevel"/>
    <w:tmpl w:val="8806F57C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208F"/>
    <w:multiLevelType w:val="hybridMultilevel"/>
    <w:tmpl w:val="933292D6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7218"/>
    <w:multiLevelType w:val="hybridMultilevel"/>
    <w:tmpl w:val="40568DA2"/>
    <w:lvl w:ilvl="0" w:tplc="CFB84FA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5E3ED08C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702DF"/>
    <w:multiLevelType w:val="hybridMultilevel"/>
    <w:tmpl w:val="A20882A6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8F0"/>
    <w:multiLevelType w:val="hybridMultilevel"/>
    <w:tmpl w:val="ACC8EB8E"/>
    <w:lvl w:ilvl="0" w:tplc="CFB84FA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BD214B"/>
    <w:multiLevelType w:val="multilevel"/>
    <w:tmpl w:val="C2328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717F61"/>
    <w:multiLevelType w:val="hybridMultilevel"/>
    <w:tmpl w:val="017655E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7CF4"/>
    <w:multiLevelType w:val="hybridMultilevel"/>
    <w:tmpl w:val="68A63B62"/>
    <w:lvl w:ilvl="0" w:tplc="036826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66926"/>
    <w:multiLevelType w:val="hybridMultilevel"/>
    <w:tmpl w:val="94727D40"/>
    <w:lvl w:ilvl="0" w:tplc="1DF6C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F6C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07E43"/>
    <w:rsid w:val="000116AD"/>
    <w:rsid w:val="00023C39"/>
    <w:rsid w:val="00037719"/>
    <w:rsid w:val="000411E9"/>
    <w:rsid w:val="00044FF4"/>
    <w:rsid w:val="0004566B"/>
    <w:rsid w:val="00070224"/>
    <w:rsid w:val="00077697"/>
    <w:rsid w:val="0008551A"/>
    <w:rsid w:val="000A39CB"/>
    <w:rsid w:val="000A6BD6"/>
    <w:rsid w:val="000B79F7"/>
    <w:rsid w:val="000C5EE8"/>
    <w:rsid w:val="000D1B86"/>
    <w:rsid w:val="000D6460"/>
    <w:rsid w:val="000E1E93"/>
    <w:rsid w:val="000F2F36"/>
    <w:rsid w:val="000F3704"/>
    <w:rsid w:val="00134681"/>
    <w:rsid w:val="00137775"/>
    <w:rsid w:val="00141FFE"/>
    <w:rsid w:val="001613A9"/>
    <w:rsid w:val="0016730E"/>
    <w:rsid w:val="001921E7"/>
    <w:rsid w:val="001B2F9C"/>
    <w:rsid w:val="001B438F"/>
    <w:rsid w:val="001C7817"/>
    <w:rsid w:val="001D0F5F"/>
    <w:rsid w:val="001D391D"/>
    <w:rsid w:val="001E7CF5"/>
    <w:rsid w:val="001F6A79"/>
    <w:rsid w:val="002124E1"/>
    <w:rsid w:val="00212582"/>
    <w:rsid w:val="002163C9"/>
    <w:rsid w:val="00217EC6"/>
    <w:rsid w:val="00221411"/>
    <w:rsid w:val="00236991"/>
    <w:rsid w:val="002374D2"/>
    <w:rsid w:val="002410AF"/>
    <w:rsid w:val="00241934"/>
    <w:rsid w:val="00253F71"/>
    <w:rsid w:val="002661F5"/>
    <w:rsid w:val="0026626A"/>
    <w:rsid w:val="00267E31"/>
    <w:rsid w:val="00270E2E"/>
    <w:rsid w:val="00275BB7"/>
    <w:rsid w:val="002D0D5F"/>
    <w:rsid w:val="002D2C52"/>
    <w:rsid w:val="002E3B2A"/>
    <w:rsid w:val="002F2526"/>
    <w:rsid w:val="002F3608"/>
    <w:rsid w:val="003231C7"/>
    <w:rsid w:val="003308C5"/>
    <w:rsid w:val="00342A18"/>
    <w:rsid w:val="003430C7"/>
    <w:rsid w:val="00345114"/>
    <w:rsid w:val="003607AB"/>
    <w:rsid w:val="003649C9"/>
    <w:rsid w:val="0036584A"/>
    <w:rsid w:val="00371FAD"/>
    <w:rsid w:val="00391C71"/>
    <w:rsid w:val="003A6813"/>
    <w:rsid w:val="003A7D61"/>
    <w:rsid w:val="003D2238"/>
    <w:rsid w:val="003F10F8"/>
    <w:rsid w:val="003F491E"/>
    <w:rsid w:val="00427B62"/>
    <w:rsid w:val="004332AF"/>
    <w:rsid w:val="0045401B"/>
    <w:rsid w:val="00456863"/>
    <w:rsid w:val="00467DFA"/>
    <w:rsid w:val="00476A69"/>
    <w:rsid w:val="0047720B"/>
    <w:rsid w:val="00483541"/>
    <w:rsid w:val="004A4099"/>
    <w:rsid w:val="004B0CE1"/>
    <w:rsid w:val="004B398B"/>
    <w:rsid w:val="004B65EB"/>
    <w:rsid w:val="004B666D"/>
    <w:rsid w:val="004C31DF"/>
    <w:rsid w:val="004C46A7"/>
    <w:rsid w:val="004C6B59"/>
    <w:rsid w:val="004C72AD"/>
    <w:rsid w:val="004D62C8"/>
    <w:rsid w:val="004F376E"/>
    <w:rsid w:val="00503CCB"/>
    <w:rsid w:val="00503FCF"/>
    <w:rsid w:val="005244CD"/>
    <w:rsid w:val="00531DC2"/>
    <w:rsid w:val="00545012"/>
    <w:rsid w:val="005472CB"/>
    <w:rsid w:val="00571D2C"/>
    <w:rsid w:val="0057775E"/>
    <w:rsid w:val="00585125"/>
    <w:rsid w:val="005A450F"/>
    <w:rsid w:val="005A586F"/>
    <w:rsid w:val="005B1D57"/>
    <w:rsid w:val="005C35AA"/>
    <w:rsid w:val="005D09AC"/>
    <w:rsid w:val="005D15BC"/>
    <w:rsid w:val="005D1DA8"/>
    <w:rsid w:val="005F4C98"/>
    <w:rsid w:val="00601046"/>
    <w:rsid w:val="006100A2"/>
    <w:rsid w:val="006106D2"/>
    <w:rsid w:val="00610A75"/>
    <w:rsid w:val="006239AF"/>
    <w:rsid w:val="00623B99"/>
    <w:rsid w:val="00625F76"/>
    <w:rsid w:val="0064213B"/>
    <w:rsid w:val="00644D5C"/>
    <w:rsid w:val="00646D92"/>
    <w:rsid w:val="00672F68"/>
    <w:rsid w:val="0067534E"/>
    <w:rsid w:val="006804A7"/>
    <w:rsid w:val="00685C2D"/>
    <w:rsid w:val="006916A7"/>
    <w:rsid w:val="006D05FB"/>
    <w:rsid w:val="006E5C27"/>
    <w:rsid w:val="006E72F4"/>
    <w:rsid w:val="0070077A"/>
    <w:rsid w:val="0070186B"/>
    <w:rsid w:val="007127A1"/>
    <w:rsid w:val="00712A0B"/>
    <w:rsid w:val="00751AA9"/>
    <w:rsid w:val="00775347"/>
    <w:rsid w:val="00777DE8"/>
    <w:rsid w:val="007B2A5A"/>
    <w:rsid w:val="007B5DF8"/>
    <w:rsid w:val="00806311"/>
    <w:rsid w:val="008203A6"/>
    <w:rsid w:val="00827EA8"/>
    <w:rsid w:val="008316EA"/>
    <w:rsid w:val="0084142C"/>
    <w:rsid w:val="00844668"/>
    <w:rsid w:val="00854AEC"/>
    <w:rsid w:val="008577EF"/>
    <w:rsid w:val="00860676"/>
    <w:rsid w:val="00880AFC"/>
    <w:rsid w:val="008968A3"/>
    <w:rsid w:val="00897746"/>
    <w:rsid w:val="008A06F4"/>
    <w:rsid w:val="008A21DB"/>
    <w:rsid w:val="008A2CC4"/>
    <w:rsid w:val="008B50E7"/>
    <w:rsid w:val="008F433E"/>
    <w:rsid w:val="008F4EAC"/>
    <w:rsid w:val="00902A4C"/>
    <w:rsid w:val="00905279"/>
    <w:rsid w:val="0092481E"/>
    <w:rsid w:val="0094333C"/>
    <w:rsid w:val="00945091"/>
    <w:rsid w:val="009539CA"/>
    <w:rsid w:val="00956ED4"/>
    <w:rsid w:val="00964A1B"/>
    <w:rsid w:val="00965079"/>
    <w:rsid w:val="00967B25"/>
    <w:rsid w:val="00982F06"/>
    <w:rsid w:val="00986F57"/>
    <w:rsid w:val="009921D7"/>
    <w:rsid w:val="0099283A"/>
    <w:rsid w:val="009941E6"/>
    <w:rsid w:val="009C681D"/>
    <w:rsid w:val="009D6B3B"/>
    <w:rsid w:val="009E7524"/>
    <w:rsid w:val="009F30A4"/>
    <w:rsid w:val="009F32DE"/>
    <w:rsid w:val="009F4CB9"/>
    <w:rsid w:val="00A008CD"/>
    <w:rsid w:val="00A125DB"/>
    <w:rsid w:val="00A16D3B"/>
    <w:rsid w:val="00A24952"/>
    <w:rsid w:val="00A37E0B"/>
    <w:rsid w:val="00A448C2"/>
    <w:rsid w:val="00A469D8"/>
    <w:rsid w:val="00A52579"/>
    <w:rsid w:val="00A5507E"/>
    <w:rsid w:val="00A56AA8"/>
    <w:rsid w:val="00A628E9"/>
    <w:rsid w:val="00A67B31"/>
    <w:rsid w:val="00A8365A"/>
    <w:rsid w:val="00A90FF5"/>
    <w:rsid w:val="00A91D21"/>
    <w:rsid w:val="00A96FC0"/>
    <w:rsid w:val="00AA7104"/>
    <w:rsid w:val="00AB0E1B"/>
    <w:rsid w:val="00AB7101"/>
    <w:rsid w:val="00AC13BE"/>
    <w:rsid w:val="00AD7BBC"/>
    <w:rsid w:val="00AE3EEB"/>
    <w:rsid w:val="00B02AD0"/>
    <w:rsid w:val="00B02EF4"/>
    <w:rsid w:val="00B14B51"/>
    <w:rsid w:val="00B50A78"/>
    <w:rsid w:val="00B52B1D"/>
    <w:rsid w:val="00B61D80"/>
    <w:rsid w:val="00B64474"/>
    <w:rsid w:val="00B64DA1"/>
    <w:rsid w:val="00B73409"/>
    <w:rsid w:val="00B977DA"/>
    <w:rsid w:val="00BA2C7F"/>
    <w:rsid w:val="00BC3916"/>
    <w:rsid w:val="00BC7D82"/>
    <w:rsid w:val="00BD56DF"/>
    <w:rsid w:val="00BE127F"/>
    <w:rsid w:val="00BE5351"/>
    <w:rsid w:val="00C15FC1"/>
    <w:rsid w:val="00C21341"/>
    <w:rsid w:val="00C36653"/>
    <w:rsid w:val="00C36C47"/>
    <w:rsid w:val="00C4588E"/>
    <w:rsid w:val="00C47500"/>
    <w:rsid w:val="00C4791B"/>
    <w:rsid w:val="00C54A41"/>
    <w:rsid w:val="00C60453"/>
    <w:rsid w:val="00C83728"/>
    <w:rsid w:val="00C8472D"/>
    <w:rsid w:val="00C937DC"/>
    <w:rsid w:val="00CA3CA4"/>
    <w:rsid w:val="00CB15A2"/>
    <w:rsid w:val="00CE7D98"/>
    <w:rsid w:val="00D06170"/>
    <w:rsid w:val="00D644AE"/>
    <w:rsid w:val="00D65DFA"/>
    <w:rsid w:val="00D80553"/>
    <w:rsid w:val="00D83CF4"/>
    <w:rsid w:val="00D84806"/>
    <w:rsid w:val="00D85243"/>
    <w:rsid w:val="00DA561B"/>
    <w:rsid w:val="00DA5766"/>
    <w:rsid w:val="00DC1044"/>
    <w:rsid w:val="00DD3B3B"/>
    <w:rsid w:val="00DE36D8"/>
    <w:rsid w:val="00E04ECA"/>
    <w:rsid w:val="00E05AE2"/>
    <w:rsid w:val="00E203B5"/>
    <w:rsid w:val="00E230CA"/>
    <w:rsid w:val="00E27D7D"/>
    <w:rsid w:val="00E4020E"/>
    <w:rsid w:val="00E44D62"/>
    <w:rsid w:val="00E54D78"/>
    <w:rsid w:val="00E651A2"/>
    <w:rsid w:val="00E7255F"/>
    <w:rsid w:val="00E80CDD"/>
    <w:rsid w:val="00E8267C"/>
    <w:rsid w:val="00E82A81"/>
    <w:rsid w:val="00E93A2C"/>
    <w:rsid w:val="00E9459B"/>
    <w:rsid w:val="00EB7B83"/>
    <w:rsid w:val="00EC0107"/>
    <w:rsid w:val="00EC7522"/>
    <w:rsid w:val="00EC7BA6"/>
    <w:rsid w:val="00ED5428"/>
    <w:rsid w:val="00EE4DC1"/>
    <w:rsid w:val="00EF4CA3"/>
    <w:rsid w:val="00F00CAA"/>
    <w:rsid w:val="00F0196E"/>
    <w:rsid w:val="00F062E0"/>
    <w:rsid w:val="00F26FCF"/>
    <w:rsid w:val="00F45859"/>
    <w:rsid w:val="00F64F4A"/>
    <w:rsid w:val="00F72806"/>
    <w:rsid w:val="00F8488A"/>
    <w:rsid w:val="00F864B9"/>
    <w:rsid w:val="00F87317"/>
    <w:rsid w:val="00F9126B"/>
    <w:rsid w:val="00F9368D"/>
    <w:rsid w:val="00F97BD8"/>
    <w:rsid w:val="00FA2ED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66EDF"/>
  <w15:docId w15:val="{2E62EB56-4782-44A3-B99A-5EC09A15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82F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231C7"/>
    <w:pPr>
      <w:tabs>
        <w:tab w:val="right" w:leader="dot" w:pos="9627"/>
      </w:tabs>
      <w:ind w:firstLine="432"/>
    </w:pPr>
  </w:style>
  <w:style w:type="character" w:styleId="Strong">
    <w:name w:val="Strong"/>
    <w:qFormat/>
    <w:rsid w:val="00625F7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D2C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91C7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D8F652-16FE-40C6-9EA1-679DBE3E5E33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E435-5CF8-4343-9E64-4127D64A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Ardiana Krrabaj</dc:creator>
  <cp:lastModifiedBy>Adem Kollari</cp:lastModifiedBy>
  <cp:revision>25</cp:revision>
  <cp:lastPrinted>2016-05-17T14:16:00Z</cp:lastPrinted>
  <dcterms:created xsi:type="dcterms:W3CDTF">2019-10-17T07:58:00Z</dcterms:created>
  <dcterms:modified xsi:type="dcterms:W3CDTF">2020-02-10T12:08:00Z</dcterms:modified>
</cp:coreProperties>
</file>