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C6986" w14:textId="6B6AED90" w:rsidR="00047D29" w:rsidRDefault="00047D29" w:rsidP="00F710F2">
      <w:pPr>
        <w:shd w:val="clear" w:color="auto" w:fill="FFFFFF"/>
        <w:spacing w:line="240" w:lineRule="auto"/>
        <w:jc w:val="center"/>
        <w:rPr>
          <w:rFonts w:ascii="Times New Roman" w:eastAsia="Times New Roman" w:hAnsi="Times New Roman" w:cs="Times New Roman"/>
          <w:b/>
          <w:bCs/>
          <w:color w:val="222222"/>
          <w:sz w:val="24"/>
          <w:szCs w:val="24"/>
          <w:lang w:eastAsia="sq-AL"/>
        </w:rPr>
      </w:pPr>
      <w:r w:rsidRPr="00B91E0A">
        <w:rPr>
          <w:noProof/>
          <w:lang w:eastAsia="sq-AL"/>
        </w:rPr>
        <w:drawing>
          <wp:anchor distT="0" distB="0" distL="114300" distR="114300" simplePos="0" relativeHeight="251659264" behindDoc="0" locked="0" layoutInCell="1" allowOverlap="1" wp14:anchorId="00289CA9" wp14:editId="310EAFE0">
            <wp:simplePos x="0" y="0"/>
            <wp:positionH relativeFrom="column">
              <wp:posOffset>0</wp:posOffset>
            </wp:positionH>
            <wp:positionV relativeFrom="paragraph">
              <wp:posOffset>276225</wp:posOffset>
            </wp:positionV>
            <wp:extent cx="1164590" cy="5975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597535"/>
                    </a:xfrm>
                    <a:prstGeom prst="rect">
                      <a:avLst/>
                    </a:prstGeom>
                    <a:noFill/>
                  </pic:spPr>
                </pic:pic>
              </a:graphicData>
            </a:graphic>
          </wp:anchor>
        </w:drawing>
      </w:r>
    </w:p>
    <w:p w14:paraId="5A88E118" w14:textId="77777777" w:rsidR="00047D29" w:rsidRDefault="00047D29" w:rsidP="00F710F2">
      <w:pPr>
        <w:shd w:val="clear" w:color="auto" w:fill="FFFFFF"/>
        <w:spacing w:line="240" w:lineRule="auto"/>
        <w:jc w:val="center"/>
        <w:rPr>
          <w:rFonts w:ascii="Times New Roman" w:eastAsia="Times New Roman" w:hAnsi="Times New Roman" w:cs="Times New Roman"/>
          <w:b/>
          <w:bCs/>
          <w:color w:val="222222"/>
          <w:sz w:val="24"/>
          <w:szCs w:val="24"/>
          <w:lang w:eastAsia="sq-AL"/>
        </w:rPr>
      </w:pPr>
    </w:p>
    <w:p w14:paraId="6691509B" w14:textId="77777777" w:rsidR="00047D29" w:rsidRDefault="00047D29" w:rsidP="00F710F2">
      <w:pPr>
        <w:shd w:val="clear" w:color="auto" w:fill="FFFFFF"/>
        <w:spacing w:line="240" w:lineRule="auto"/>
        <w:jc w:val="center"/>
        <w:rPr>
          <w:rFonts w:ascii="Times New Roman" w:eastAsia="Times New Roman" w:hAnsi="Times New Roman" w:cs="Times New Roman"/>
          <w:b/>
          <w:bCs/>
          <w:color w:val="222222"/>
          <w:sz w:val="24"/>
          <w:szCs w:val="24"/>
          <w:lang w:eastAsia="sq-AL"/>
        </w:rPr>
      </w:pPr>
    </w:p>
    <w:p w14:paraId="7659D400" w14:textId="77777777" w:rsidR="00047D29" w:rsidRDefault="00047D29" w:rsidP="00F710F2">
      <w:pPr>
        <w:shd w:val="clear" w:color="auto" w:fill="FFFFFF"/>
        <w:spacing w:line="240" w:lineRule="auto"/>
        <w:jc w:val="center"/>
        <w:rPr>
          <w:rFonts w:ascii="Times New Roman" w:eastAsia="Times New Roman" w:hAnsi="Times New Roman" w:cs="Times New Roman"/>
          <w:b/>
          <w:bCs/>
          <w:color w:val="222222"/>
          <w:sz w:val="24"/>
          <w:szCs w:val="24"/>
          <w:lang w:eastAsia="sq-AL"/>
        </w:rPr>
      </w:pPr>
    </w:p>
    <w:p w14:paraId="29C6918B" w14:textId="3EAF274F" w:rsidR="00047D29" w:rsidRDefault="00047D29" w:rsidP="00047D29">
      <w:pPr>
        <w:shd w:val="clear" w:color="auto" w:fill="FFFFFF"/>
        <w:spacing w:line="240" w:lineRule="auto"/>
        <w:jc w:val="center"/>
        <w:rPr>
          <w:rFonts w:ascii="Times New Roman" w:eastAsia="Times New Roman" w:hAnsi="Times New Roman" w:cs="Times New Roman"/>
          <w:b/>
          <w:bCs/>
          <w:color w:val="222222"/>
          <w:sz w:val="24"/>
          <w:szCs w:val="24"/>
          <w:lang w:eastAsia="sq-AL"/>
        </w:rPr>
      </w:pPr>
      <w:r w:rsidRPr="00047D29">
        <w:rPr>
          <w:rFonts w:ascii="Times New Roman" w:eastAsia="Times New Roman" w:hAnsi="Times New Roman" w:cs="Times New Roman"/>
          <w:b/>
          <w:bCs/>
          <w:color w:val="222222"/>
          <w:sz w:val="24"/>
          <w:szCs w:val="24"/>
          <w:lang w:eastAsia="sq-AL"/>
        </w:rPr>
        <w:t>KËRKESAT SPECIFIKE TË NJOHURIVE PËR VLERËSUESIT TEKNIKË DHE EKSPERTËT TEKNIK</w:t>
      </w:r>
      <w:r w:rsidR="00AE3DCE">
        <w:rPr>
          <w:rFonts w:ascii="Times New Roman" w:eastAsia="Times New Roman" w:hAnsi="Times New Roman" w:cs="Times New Roman"/>
          <w:b/>
          <w:bCs/>
          <w:color w:val="222222"/>
          <w:sz w:val="24"/>
          <w:szCs w:val="24"/>
          <w:lang w:eastAsia="sq-AL"/>
        </w:rPr>
        <w:t>Ë</w:t>
      </w:r>
    </w:p>
    <w:p w14:paraId="7E7B14C6" w14:textId="38A4EA8A" w:rsidR="00F710F2" w:rsidRPr="00F710F2" w:rsidRDefault="00F710F2" w:rsidP="00F710F2">
      <w:pPr>
        <w:shd w:val="clear" w:color="auto" w:fill="FFFFFF"/>
        <w:spacing w:line="240" w:lineRule="auto"/>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1. Qëllimi</w:t>
      </w:r>
    </w:p>
    <w:p w14:paraId="52D8DCF3"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Ky dokument përcakton njohuritë, kompetencat teknike dhe kërkesat specifike që duhet të plotësojnë Vlerësuesit Teknikë (VT) dhe Ekspertët Teknikë (ET), sipas fushave të akreditimit dhe aktiviteteve përkatëse të organeve të vlerësimit të konformitetit.</w:t>
      </w:r>
    </w:p>
    <w:p w14:paraId="64A13B34" w14:textId="795BF1B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 xml:space="preserve">Dokumenti përcakton gjithashtu njohuritë e kërkuara për standardet, dokumentet normative dhe udhëzuesit e DAK, EA, ILAC, të cilat zbatohen gjatë vlerësimit të kompetencës së </w:t>
      </w:r>
      <w:r w:rsidR="00D32ADD">
        <w:rPr>
          <w:rFonts w:ascii="Times New Roman" w:eastAsia="Times New Roman" w:hAnsi="Times New Roman" w:cs="Times New Roman"/>
          <w:color w:val="222222"/>
          <w:sz w:val="24"/>
          <w:szCs w:val="24"/>
          <w:lang w:eastAsia="sq-AL"/>
        </w:rPr>
        <w:t>trupa</w:t>
      </w:r>
      <w:r w:rsidRPr="00F710F2">
        <w:rPr>
          <w:rFonts w:ascii="Times New Roman" w:eastAsia="Times New Roman" w:hAnsi="Times New Roman" w:cs="Times New Roman"/>
          <w:color w:val="222222"/>
          <w:sz w:val="24"/>
          <w:szCs w:val="24"/>
          <w:lang w:eastAsia="sq-AL"/>
        </w:rPr>
        <w:t>ve të vlerësimit të konformitetit.</w:t>
      </w:r>
    </w:p>
    <w:p w14:paraId="18692D6F"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2. Fusha e zbatimit</w:t>
      </w:r>
    </w:p>
    <w:p w14:paraId="1600B240" w14:textId="2DA0508F"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Këto kërkesa zbatohen për VT dhe ET e angazhuar në vlerësimin e:</w:t>
      </w:r>
    </w:p>
    <w:p w14:paraId="33C2FA32" w14:textId="77777777" w:rsidR="00F710F2" w:rsidRPr="00F710F2" w:rsidRDefault="00F710F2" w:rsidP="00C964C4">
      <w:pPr>
        <w:numPr>
          <w:ilvl w:val="0"/>
          <w:numId w:val="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Laboratorëve testues;</w:t>
      </w:r>
    </w:p>
    <w:p w14:paraId="5A052BCD" w14:textId="77777777" w:rsidR="00F710F2" w:rsidRPr="00F710F2" w:rsidRDefault="00F710F2" w:rsidP="00C964C4">
      <w:pPr>
        <w:numPr>
          <w:ilvl w:val="0"/>
          <w:numId w:val="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Laboratorëve kalibrues;</w:t>
      </w:r>
    </w:p>
    <w:p w14:paraId="136E36EF" w14:textId="77777777" w:rsidR="00F710F2" w:rsidRPr="00F710F2" w:rsidRDefault="00F710F2" w:rsidP="00C964C4">
      <w:pPr>
        <w:numPr>
          <w:ilvl w:val="0"/>
          <w:numId w:val="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Trupave inspektues;</w:t>
      </w:r>
    </w:p>
    <w:p w14:paraId="063E320A" w14:textId="77777777" w:rsidR="00F710F2" w:rsidRPr="00F710F2" w:rsidRDefault="00F710F2" w:rsidP="00C964C4">
      <w:pPr>
        <w:numPr>
          <w:ilvl w:val="0"/>
          <w:numId w:val="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Laboratorëve të ekzaminimeve mjekësore;</w:t>
      </w:r>
    </w:p>
    <w:p w14:paraId="1B125A7D" w14:textId="77777777" w:rsidR="00F710F2" w:rsidRPr="00F710F2" w:rsidRDefault="00F710F2" w:rsidP="00C964C4">
      <w:pPr>
        <w:numPr>
          <w:ilvl w:val="0"/>
          <w:numId w:val="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Trupave të certifikimit të produkteve.</w:t>
      </w:r>
    </w:p>
    <w:p w14:paraId="2A26315F"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Kërkesat specifike përcaktohen në përputhje me aktivitetin, fushën teknike dhe kriteret e akreditimit.</w:t>
      </w:r>
    </w:p>
    <w:p w14:paraId="1640D9B0"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3. Parimet e kompetencës</w:t>
      </w:r>
    </w:p>
    <w:p w14:paraId="50EBF60D" w14:textId="2D507B73"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duhet të dëshmojnë kompetencë teknike, përvojë profesionale dhe njohuri të dokumentuara në fushën përkatëse të akreditimit.</w:t>
      </w:r>
    </w:p>
    <w:p w14:paraId="074B24A5"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Kompetenca duhet të jetë në përputhje me:</w:t>
      </w:r>
    </w:p>
    <w:p w14:paraId="68C99233" w14:textId="77777777" w:rsidR="00F710F2" w:rsidRPr="00F710F2" w:rsidRDefault="00F710F2" w:rsidP="00C964C4">
      <w:pPr>
        <w:numPr>
          <w:ilvl w:val="0"/>
          <w:numId w:val="2"/>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Fushën dhe kompleksitetin e aktiviteteve që do të vlerësohen;</w:t>
      </w:r>
    </w:p>
    <w:p w14:paraId="17FA9A94" w14:textId="77777777" w:rsidR="00F710F2" w:rsidRPr="00F710F2" w:rsidRDefault="00F710F2" w:rsidP="00C964C4">
      <w:pPr>
        <w:numPr>
          <w:ilvl w:val="0"/>
          <w:numId w:val="2"/>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Standardin përkatës të akreditimit;</w:t>
      </w:r>
    </w:p>
    <w:p w14:paraId="0408D066" w14:textId="77777777" w:rsidR="00F710F2" w:rsidRPr="00F710F2" w:rsidRDefault="00F710F2" w:rsidP="00C964C4">
      <w:pPr>
        <w:numPr>
          <w:ilvl w:val="0"/>
          <w:numId w:val="2"/>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Metodat, procedurat, pajisjet dhe teknologjitë e përdorura;</w:t>
      </w:r>
    </w:p>
    <w:p w14:paraId="612F881C" w14:textId="77777777" w:rsidR="00F710F2" w:rsidRPr="00F710F2" w:rsidRDefault="00F710F2" w:rsidP="00C964C4">
      <w:pPr>
        <w:numPr>
          <w:ilvl w:val="0"/>
          <w:numId w:val="2"/>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Kërkesat ligjore dhe rregullative të zbatueshme;</w:t>
      </w:r>
    </w:p>
    <w:p w14:paraId="4FCB2F5B" w14:textId="3E24BD70" w:rsidR="007152AB" w:rsidRDefault="00F710F2" w:rsidP="00C964C4">
      <w:pPr>
        <w:numPr>
          <w:ilvl w:val="0"/>
          <w:numId w:val="2"/>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Dokumentet normative dhe udhëzuese të DAK, EA, ILAC.</w:t>
      </w:r>
    </w:p>
    <w:p w14:paraId="5366BE71" w14:textId="1AEFE52B"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lastRenderedPageBreak/>
        <w:t>4. Kërkesat e përgjithshme për kompetencën</w:t>
      </w:r>
      <w:r w:rsidR="00ED06B4">
        <w:rPr>
          <w:rFonts w:ascii="Calibri" w:eastAsia="Times New Roman" w:hAnsi="Calibri" w:cs="Calibri"/>
          <w:color w:val="222222"/>
          <w:lang w:eastAsia="sq-AL"/>
        </w:rPr>
        <w:t xml:space="preserve"> - </w:t>
      </w:r>
      <w:r w:rsidR="00ED06B4">
        <w:rPr>
          <w:rFonts w:ascii="Times New Roman" w:eastAsia="Times New Roman" w:hAnsi="Times New Roman" w:cs="Times New Roman"/>
          <w:b/>
          <w:bCs/>
          <w:color w:val="222222"/>
          <w:sz w:val="24"/>
          <w:szCs w:val="24"/>
          <w:lang w:eastAsia="sq-AL"/>
        </w:rPr>
        <w:t>k</w:t>
      </w:r>
      <w:r w:rsidRPr="00F710F2">
        <w:rPr>
          <w:rFonts w:ascii="Times New Roman" w:eastAsia="Times New Roman" w:hAnsi="Times New Roman" w:cs="Times New Roman"/>
          <w:b/>
          <w:bCs/>
          <w:color w:val="222222"/>
          <w:sz w:val="24"/>
          <w:szCs w:val="24"/>
          <w:lang w:eastAsia="sq-AL"/>
        </w:rPr>
        <w:t>ualifikimi arsimor dhe profesional i Vlerësuesit Teknik (VT)</w:t>
      </w:r>
    </w:p>
    <w:p w14:paraId="27A4DEB4" w14:textId="4D4341AA"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Vlerësuesi Teknik duhet të ketë arsimim të lartë në fushën përkatëse teknike ose shkencore, në përputhje me aktivitetin dhe fushën e akreditimit për të cilën kërkohet a</w:t>
      </w:r>
      <w:r w:rsidR="00B20AEA">
        <w:rPr>
          <w:rFonts w:ascii="Times New Roman" w:eastAsia="Times New Roman" w:hAnsi="Times New Roman" w:cs="Times New Roman"/>
          <w:color w:val="222222"/>
          <w:sz w:val="24"/>
          <w:szCs w:val="24"/>
          <w:lang w:eastAsia="sq-AL"/>
        </w:rPr>
        <w:t>kredit</w:t>
      </w:r>
      <w:r w:rsidRPr="00F710F2">
        <w:rPr>
          <w:rFonts w:ascii="Times New Roman" w:eastAsia="Times New Roman" w:hAnsi="Times New Roman" w:cs="Times New Roman"/>
          <w:color w:val="222222"/>
          <w:sz w:val="24"/>
          <w:szCs w:val="24"/>
          <w:lang w:eastAsia="sq-AL"/>
        </w:rPr>
        <w:t>imi.</w:t>
      </w:r>
    </w:p>
    <w:p w14:paraId="7B005735" w14:textId="2910E7CC"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 xml:space="preserve">Kualifikimi arsimor duhet të jetë i përshtatshëm për fushën e kompetencës dhe të dëshmojë njohuri të mjaftueshme teorike dhe praktike për vlerësimin e aktiviteteve të </w:t>
      </w:r>
      <w:r w:rsidR="00B20AEA">
        <w:rPr>
          <w:rFonts w:ascii="Times New Roman" w:eastAsia="Times New Roman" w:hAnsi="Times New Roman" w:cs="Times New Roman"/>
          <w:color w:val="222222"/>
          <w:sz w:val="24"/>
          <w:szCs w:val="24"/>
          <w:lang w:eastAsia="sq-AL"/>
        </w:rPr>
        <w:t>trup</w:t>
      </w:r>
      <w:r w:rsidRPr="00F710F2">
        <w:rPr>
          <w:rFonts w:ascii="Times New Roman" w:eastAsia="Times New Roman" w:hAnsi="Times New Roman" w:cs="Times New Roman"/>
          <w:color w:val="222222"/>
          <w:sz w:val="24"/>
          <w:szCs w:val="24"/>
          <w:lang w:eastAsia="sq-AL"/>
        </w:rPr>
        <w:t>it të vlerësimit të konformitetit.</w:t>
      </w:r>
    </w:p>
    <w:p w14:paraId="571E98D1"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Në varësi të fushës së akreditimit, kërkohet:</w:t>
      </w:r>
    </w:p>
    <w:p w14:paraId="4BD980D6" w14:textId="3D6A3390" w:rsidR="00F710F2" w:rsidRPr="00F710F2" w:rsidRDefault="00F710F2" w:rsidP="00C964C4">
      <w:pPr>
        <w:numPr>
          <w:ilvl w:val="0"/>
          <w:numId w:val="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 xml:space="preserve">Diplomë universitare </w:t>
      </w:r>
      <w:r w:rsidR="008D6D4B">
        <w:rPr>
          <w:rFonts w:ascii="Times New Roman" w:eastAsia="Times New Roman" w:hAnsi="Times New Roman" w:cs="Times New Roman"/>
          <w:color w:val="222222"/>
          <w:sz w:val="24"/>
          <w:szCs w:val="24"/>
          <w:lang w:eastAsia="sq-AL"/>
        </w:rPr>
        <w:t xml:space="preserve">te </w:t>
      </w:r>
      <w:r w:rsidRPr="00F710F2">
        <w:rPr>
          <w:rFonts w:ascii="Times New Roman" w:eastAsia="Times New Roman" w:hAnsi="Times New Roman" w:cs="Times New Roman"/>
          <w:color w:val="222222"/>
          <w:sz w:val="24"/>
          <w:szCs w:val="24"/>
          <w:lang w:eastAsia="sq-AL"/>
        </w:rPr>
        <w:t>fushë</w:t>
      </w:r>
      <w:r w:rsidR="008D6D4B">
        <w:rPr>
          <w:rFonts w:ascii="Times New Roman" w:eastAsia="Times New Roman" w:hAnsi="Times New Roman" w:cs="Times New Roman"/>
          <w:color w:val="222222"/>
          <w:sz w:val="24"/>
          <w:szCs w:val="24"/>
          <w:lang w:eastAsia="sq-AL"/>
        </w:rPr>
        <w:t>s</w:t>
      </w:r>
      <w:r w:rsidRPr="00F710F2">
        <w:rPr>
          <w:rFonts w:ascii="Times New Roman" w:eastAsia="Times New Roman" w:hAnsi="Times New Roman" w:cs="Times New Roman"/>
          <w:color w:val="222222"/>
          <w:sz w:val="24"/>
          <w:szCs w:val="24"/>
          <w:lang w:eastAsia="sq-AL"/>
        </w:rPr>
        <w:t xml:space="preserve"> përkatëse teknike, shkencore, mjekësore ose inxhinierike;</w:t>
      </w:r>
    </w:p>
    <w:p w14:paraId="723075B2" w14:textId="77777777" w:rsidR="00F710F2" w:rsidRPr="00F710F2" w:rsidRDefault="00F710F2" w:rsidP="00C964C4">
      <w:pPr>
        <w:numPr>
          <w:ilvl w:val="0"/>
          <w:numId w:val="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 të dokumentuara në disiplinën përkatëse dhe në metodat, proceset ose teknologjitë që do të vlerësohen;</w:t>
      </w:r>
    </w:p>
    <w:p w14:paraId="48201357" w14:textId="31D8C8D5" w:rsidR="00F710F2" w:rsidRPr="00F710F2" w:rsidRDefault="00F710F2" w:rsidP="00C964C4">
      <w:pPr>
        <w:numPr>
          <w:ilvl w:val="0"/>
          <w:numId w:val="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 xml:space="preserve">Trajnim </w:t>
      </w:r>
      <w:r w:rsidR="006F0071">
        <w:rPr>
          <w:rFonts w:ascii="Times New Roman" w:eastAsia="Times New Roman" w:hAnsi="Times New Roman" w:cs="Times New Roman"/>
          <w:color w:val="222222"/>
          <w:sz w:val="24"/>
          <w:szCs w:val="24"/>
          <w:lang w:eastAsia="sq-AL"/>
        </w:rPr>
        <w:t xml:space="preserve">dhe </w:t>
      </w:r>
      <w:r w:rsidRPr="00F710F2">
        <w:rPr>
          <w:rFonts w:ascii="Times New Roman" w:eastAsia="Times New Roman" w:hAnsi="Times New Roman" w:cs="Times New Roman"/>
          <w:color w:val="222222"/>
          <w:sz w:val="24"/>
          <w:szCs w:val="24"/>
          <w:lang w:eastAsia="sq-AL"/>
        </w:rPr>
        <w:t>njohuri të dëshmuara për standardin përkatës të akreditimit dhe kërkesat e vlerësimit;</w:t>
      </w:r>
    </w:p>
    <w:p w14:paraId="1192DD2E" w14:textId="1C2900C8" w:rsidR="00F710F2" w:rsidRPr="00F710F2" w:rsidRDefault="00F710F2" w:rsidP="00C964C4">
      <w:pPr>
        <w:numPr>
          <w:ilvl w:val="0"/>
          <w:numId w:val="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 për dokumentet normative dhe udhëzuese të DAK, EA, ILAC që zbatohen në fushën e a</w:t>
      </w:r>
      <w:r w:rsidR="00B61F7E">
        <w:rPr>
          <w:rFonts w:ascii="Times New Roman" w:eastAsia="Times New Roman" w:hAnsi="Times New Roman" w:cs="Times New Roman"/>
          <w:color w:val="222222"/>
          <w:sz w:val="24"/>
          <w:szCs w:val="24"/>
          <w:lang w:eastAsia="sq-AL"/>
        </w:rPr>
        <w:t>kredit</w:t>
      </w:r>
      <w:r w:rsidRPr="00F710F2">
        <w:rPr>
          <w:rFonts w:ascii="Times New Roman" w:eastAsia="Times New Roman" w:hAnsi="Times New Roman" w:cs="Times New Roman"/>
          <w:color w:val="222222"/>
          <w:sz w:val="24"/>
          <w:szCs w:val="24"/>
          <w:lang w:eastAsia="sq-AL"/>
        </w:rPr>
        <w:t>imit.</w:t>
      </w:r>
    </w:p>
    <w:p w14:paraId="4A3BE8C1" w14:textId="4EC8965C" w:rsidR="00F710F2" w:rsidRPr="00F710F2" w:rsidRDefault="00D32ADD" w:rsidP="00C964C4">
      <w:pPr>
        <w:shd w:val="clear" w:color="auto" w:fill="FFFFFF"/>
        <w:spacing w:line="240" w:lineRule="auto"/>
        <w:jc w:val="both"/>
        <w:rPr>
          <w:rFonts w:ascii="Calibri" w:eastAsia="Times New Roman" w:hAnsi="Calibri" w:cs="Calibri"/>
          <w:color w:val="222222"/>
          <w:lang w:eastAsia="sq-AL"/>
        </w:rPr>
      </w:pPr>
      <w:r>
        <w:rPr>
          <w:rFonts w:ascii="Times New Roman" w:eastAsia="Times New Roman" w:hAnsi="Times New Roman" w:cs="Times New Roman"/>
          <w:color w:val="222222"/>
          <w:sz w:val="24"/>
          <w:szCs w:val="24"/>
          <w:lang w:eastAsia="sq-AL"/>
        </w:rPr>
        <w:t>K</w:t>
      </w:r>
      <w:r w:rsidR="00F710F2" w:rsidRPr="00F710F2">
        <w:rPr>
          <w:rFonts w:ascii="Times New Roman" w:eastAsia="Times New Roman" w:hAnsi="Times New Roman" w:cs="Times New Roman"/>
          <w:color w:val="222222"/>
          <w:sz w:val="24"/>
          <w:szCs w:val="24"/>
          <w:lang w:eastAsia="sq-AL"/>
        </w:rPr>
        <w:t>ualifikimi</w:t>
      </w:r>
      <w:r w:rsidR="003C4E67">
        <w:rPr>
          <w:rFonts w:ascii="Times New Roman" w:eastAsia="Times New Roman" w:hAnsi="Times New Roman" w:cs="Times New Roman"/>
          <w:color w:val="222222"/>
          <w:sz w:val="24"/>
          <w:szCs w:val="24"/>
          <w:lang w:eastAsia="sq-AL"/>
        </w:rPr>
        <w:t xml:space="preserve"> </w:t>
      </w:r>
      <w:r w:rsidR="008613C1">
        <w:rPr>
          <w:rFonts w:ascii="Times New Roman" w:eastAsia="Times New Roman" w:hAnsi="Times New Roman" w:cs="Times New Roman"/>
          <w:color w:val="222222"/>
          <w:sz w:val="24"/>
          <w:szCs w:val="24"/>
          <w:lang w:eastAsia="sq-AL"/>
        </w:rPr>
        <w:t xml:space="preserve">duhet të </w:t>
      </w:r>
      <w:r w:rsidR="00F710F2" w:rsidRPr="00F710F2">
        <w:rPr>
          <w:rFonts w:ascii="Times New Roman" w:eastAsia="Times New Roman" w:hAnsi="Times New Roman" w:cs="Times New Roman"/>
          <w:color w:val="222222"/>
          <w:sz w:val="24"/>
          <w:szCs w:val="24"/>
          <w:lang w:eastAsia="sq-AL"/>
        </w:rPr>
        <w:t xml:space="preserve">mbështetet edhe me përvojë profesionale, angazhim akademik ose ekspertizë të dokumentuar, </w:t>
      </w:r>
      <w:r w:rsidR="00BC6C39">
        <w:rPr>
          <w:rFonts w:ascii="Times New Roman" w:eastAsia="Times New Roman" w:hAnsi="Times New Roman" w:cs="Times New Roman"/>
          <w:color w:val="222222"/>
          <w:sz w:val="24"/>
          <w:szCs w:val="24"/>
          <w:lang w:eastAsia="sq-AL"/>
        </w:rPr>
        <w:t>sipas</w:t>
      </w:r>
      <w:r w:rsidR="00F710F2" w:rsidRPr="00F710F2">
        <w:rPr>
          <w:rFonts w:ascii="Times New Roman" w:eastAsia="Times New Roman" w:hAnsi="Times New Roman" w:cs="Times New Roman"/>
          <w:color w:val="222222"/>
          <w:sz w:val="24"/>
          <w:szCs w:val="24"/>
          <w:lang w:eastAsia="sq-AL"/>
        </w:rPr>
        <w:t xml:space="preserve"> kritere</w:t>
      </w:r>
      <w:r w:rsidR="00BC6C39">
        <w:rPr>
          <w:rFonts w:ascii="Times New Roman" w:eastAsia="Times New Roman" w:hAnsi="Times New Roman" w:cs="Times New Roman"/>
          <w:color w:val="222222"/>
          <w:sz w:val="24"/>
          <w:szCs w:val="24"/>
          <w:lang w:eastAsia="sq-AL"/>
        </w:rPr>
        <w:t>ve të</w:t>
      </w:r>
      <w:r w:rsidR="00F710F2" w:rsidRPr="00F710F2">
        <w:rPr>
          <w:rFonts w:ascii="Times New Roman" w:eastAsia="Times New Roman" w:hAnsi="Times New Roman" w:cs="Times New Roman"/>
          <w:color w:val="222222"/>
          <w:sz w:val="24"/>
          <w:szCs w:val="24"/>
          <w:lang w:eastAsia="sq-AL"/>
        </w:rPr>
        <w:t xml:space="preserve"> DAK-PT-02 dhe </w:t>
      </w:r>
      <w:r w:rsidR="00410825">
        <w:rPr>
          <w:rFonts w:ascii="Times New Roman" w:eastAsia="Times New Roman" w:hAnsi="Times New Roman" w:cs="Times New Roman"/>
          <w:color w:val="222222"/>
          <w:sz w:val="24"/>
          <w:szCs w:val="24"/>
          <w:lang w:eastAsia="sq-AL"/>
        </w:rPr>
        <w:t xml:space="preserve">nëse </w:t>
      </w:r>
      <w:r w:rsidR="00F710F2" w:rsidRPr="00F710F2">
        <w:rPr>
          <w:rFonts w:ascii="Times New Roman" w:eastAsia="Times New Roman" w:hAnsi="Times New Roman" w:cs="Times New Roman"/>
          <w:color w:val="222222"/>
          <w:sz w:val="24"/>
          <w:szCs w:val="24"/>
          <w:lang w:eastAsia="sq-AL"/>
        </w:rPr>
        <w:t>vlerësohet si e mjaftueshme për fushën përkatëse.</w:t>
      </w:r>
    </w:p>
    <w:p w14:paraId="775D130B" w14:textId="250DF0C4"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Për VT kërkohet, si rregull, përvojë minimale prej tri (3) vitesh gjatë pesë (5) viteve të fundit në fushën përkatëse, ose dëshmi e kompetencës përmes angazhimit akademik-universitar dhe përvojës së dokumentuar, në përputhje me DAK-PT-02.</w:t>
      </w:r>
    </w:p>
    <w:p w14:paraId="2543248A" w14:textId="7CA306C4"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4.</w:t>
      </w:r>
      <w:r w:rsidR="003A1562">
        <w:rPr>
          <w:rFonts w:ascii="Times New Roman" w:eastAsia="Times New Roman" w:hAnsi="Times New Roman" w:cs="Times New Roman"/>
          <w:b/>
          <w:bCs/>
          <w:color w:val="222222"/>
          <w:sz w:val="24"/>
          <w:szCs w:val="24"/>
          <w:lang w:eastAsia="sq-AL"/>
        </w:rPr>
        <w:t>1</w:t>
      </w:r>
      <w:r w:rsidRPr="00F710F2">
        <w:rPr>
          <w:rFonts w:ascii="Times New Roman" w:eastAsia="Times New Roman" w:hAnsi="Times New Roman" w:cs="Times New Roman"/>
          <w:b/>
          <w:bCs/>
          <w:color w:val="222222"/>
          <w:sz w:val="24"/>
          <w:szCs w:val="24"/>
          <w:lang w:eastAsia="sq-AL"/>
        </w:rPr>
        <w:t>. Kompetencat e Vlerësuesit Teknik</w:t>
      </w:r>
    </w:p>
    <w:p w14:paraId="1BDD8F9C" w14:textId="7A3F43DB"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w:t>
      </w:r>
    </w:p>
    <w:p w14:paraId="1DDB2678" w14:textId="77777777" w:rsidR="00F710F2" w:rsidRPr="00F710F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Vlerësojë zbatimin e standardit dhe kërkesave të akreditimit;</w:t>
      </w:r>
    </w:p>
    <w:p w14:paraId="7B5F986A" w14:textId="77777777" w:rsidR="00F710F2" w:rsidRPr="00F710F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Analizojë kompetencën teknike të personelit;</w:t>
      </w:r>
    </w:p>
    <w:p w14:paraId="1D671E02" w14:textId="77777777" w:rsidR="00F710F2" w:rsidRPr="00F710F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Vlerësojë përshtatshmërinë e metodave, procedurave dhe pajisjeve;</w:t>
      </w:r>
    </w:p>
    <w:p w14:paraId="17F7042D" w14:textId="2F2F8ED8" w:rsidR="00F710F2" w:rsidRPr="00F710F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Shqyrtojë vlefshmërinë e rezultateve,</w:t>
      </w:r>
      <w:r w:rsidR="00C13468">
        <w:rPr>
          <w:rFonts w:ascii="Times New Roman" w:eastAsia="Times New Roman" w:hAnsi="Times New Roman" w:cs="Times New Roman"/>
          <w:color w:val="222222"/>
          <w:sz w:val="24"/>
          <w:szCs w:val="24"/>
          <w:lang w:eastAsia="sq-AL"/>
        </w:rPr>
        <w:t xml:space="preserve"> </w:t>
      </w:r>
      <w:r w:rsidRPr="00F710F2">
        <w:rPr>
          <w:rFonts w:ascii="Times New Roman" w:eastAsia="Times New Roman" w:hAnsi="Times New Roman" w:cs="Times New Roman"/>
          <w:color w:val="222222"/>
          <w:sz w:val="24"/>
          <w:szCs w:val="24"/>
          <w:lang w:eastAsia="sq-AL"/>
        </w:rPr>
        <w:t>gjurmueshmërinë metrologjike dhe pasigurinë e matjes, kur janë të zbatueshme;</w:t>
      </w:r>
    </w:p>
    <w:p w14:paraId="7A67F6D4" w14:textId="77777777" w:rsidR="00F710F2" w:rsidRPr="00F710F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Identifikojë jokonformitetet dhe të dokumentojë gjetjet me dëshmi objektive;</w:t>
      </w:r>
    </w:p>
    <w:p w14:paraId="017523F9" w14:textId="77777777" w:rsidR="00F710F2" w:rsidRPr="00F710F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Vlerësojë zbatimin e dokumenteve normative dhe udhëzuese të zbatueshme;</w:t>
      </w:r>
    </w:p>
    <w:p w14:paraId="05F1ABCD" w14:textId="09238593" w:rsidR="00F710F2" w:rsidRPr="003A1562" w:rsidRDefault="00F710F2" w:rsidP="00C964C4">
      <w:pPr>
        <w:numPr>
          <w:ilvl w:val="0"/>
          <w:numId w:val="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Kryejë vlerësimin në mënyrë të pavarur, të paanshme dhe brenda fushës së a</w:t>
      </w:r>
      <w:r w:rsidR="003A1562">
        <w:rPr>
          <w:rFonts w:ascii="Times New Roman" w:eastAsia="Times New Roman" w:hAnsi="Times New Roman" w:cs="Times New Roman"/>
          <w:color w:val="222222"/>
          <w:sz w:val="24"/>
          <w:szCs w:val="24"/>
          <w:lang w:eastAsia="sq-AL"/>
        </w:rPr>
        <w:t>kredit</w:t>
      </w:r>
      <w:r w:rsidRPr="00F710F2">
        <w:rPr>
          <w:rFonts w:ascii="Times New Roman" w:eastAsia="Times New Roman" w:hAnsi="Times New Roman" w:cs="Times New Roman"/>
          <w:color w:val="222222"/>
          <w:sz w:val="24"/>
          <w:szCs w:val="24"/>
          <w:lang w:eastAsia="sq-AL"/>
        </w:rPr>
        <w:t>imit.</w:t>
      </w:r>
    </w:p>
    <w:p w14:paraId="32C819E4" w14:textId="4196103A" w:rsidR="003A1562" w:rsidRDefault="003A1562" w:rsidP="003A1562">
      <w:pPr>
        <w:shd w:val="clear" w:color="auto" w:fill="FFFFFF"/>
        <w:spacing w:line="240" w:lineRule="auto"/>
        <w:jc w:val="both"/>
        <w:rPr>
          <w:rFonts w:ascii="Times New Roman" w:eastAsia="Times New Roman" w:hAnsi="Times New Roman" w:cs="Times New Roman"/>
          <w:color w:val="222222"/>
          <w:sz w:val="24"/>
          <w:szCs w:val="24"/>
          <w:lang w:eastAsia="sq-AL"/>
        </w:rPr>
      </w:pPr>
    </w:p>
    <w:p w14:paraId="34F95717" w14:textId="77777777" w:rsidR="003A1562" w:rsidRPr="00F710F2" w:rsidRDefault="003A1562" w:rsidP="003A1562">
      <w:pPr>
        <w:shd w:val="clear" w:color="auto" w:fill="FFFFFF"/>
        <w:spacing w:line="240" w:lineRule="auto"/>
        <w:jc w:val="both"/>
        <w:rPr>
          <w:rFonts w:ascii="Calibri" w:eastAsia="Times New Roman" w:hAnsi="Calibri" w:cs="Calibri"/>
          <w:color w:val="222222"/>
          <w:lang w:eastAsia="sq-AL"/>
        </w:rPr>
      </w:pPr>
    </w:p>
    <w:p w14:paraId="23588EA0" w14:textId="74F1A18F"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lastRenderedPageBreak/>
        <w:t>4.</w:t>
      </w:r>
      <w:r w:rsidR="003A1562">
        <w:rPr>
          <w:rFonts w:ascii="Times New Roman" w:eastAsia="Times New Roman" w:hAnsi="Times New Roman" w:cs="Times New Roman"/>
          <w:b/>
          <w:bCs/>
          <w:color w:val="222222"/>
          <w:sz w:val="24"/>
          <w:szCs w:val="24"/>
          <w:lang w:eastAsia="sq-AL"/>
        </w:rPr>
        <w:t>2</w:t>
      </w:r>
      <w:r w:rsidRPr="00F710F2">
        <w:rPr>
          <w:rFonts w:ascii="Times New Roman" w:eastAsia="Times New Roman" w:hAnsi="Times New Roman" w:cs="Times New Roman"/>
          <w:b/>
          <w:bCs/>
          <w:color w:val="222222"/>
          <w:sz w:val="24"/>
          <w:szCs w:val="24"/>
          <w:lang w:eastAsia="sq-AL"/>
        </w:rPr>
        <w:t>. Kompetencat e Ekspertit Teknik</w:t>
      </w:r>
    </w:p>
    <w:p w14:paraId="1764431D" w14:textId="4D1F6C25"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ET duhet të jetë në gjendje të:</w:t>
      </w:r>
    </w:p>
    <w:p w14:paraId="7C6F5F73" w14:textId="3AB84CB2" w:rsidR="00F710F2" w:rsidRPr="00F710F2" w:rsidRDefault="00F710F2" w:rsidP="00C964C4">
      <w:pPr>
        <w:numPr>
          <w:ilvl w:val="0"/>
          <w:numId w:val="6"/>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Ofrojë ekspertizë në një fushë të caktuar teknike;</w:t>
      </w:r>
    </w:p>
    <w:p w14:paraId="57ADB1E7" w14:textId="77777777" w:rsidR="00F710F2" w:rsidRPr="00F710F2" w:rsidRDefault="00F710F2" w:rsidP="00C964C4">
      <w:pPr>
        <w:numPr>
          <w:ilvl w:val="0"/>
          <w:numId w:val="6"/>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Shpjegojë kërkesat teknike, metodat, pajisjet dhe proceset përkatëse;</w:t>
      </w:r>
    </w:p>
    <w:p w14:paraId="3D8EDB89" w14:textId="77777777" w:rsidR="00F710F2" w:rsidRPr="00F710F2" w:rsidRDefault="00F710F2" w:rsidP="00C964C4">
      <w:pPr>
        <w:numPr>
          <w:ilvl w:val="0"/>
          <w:numId w:val="6"/>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Analizojë çështjet teknike që kërkojnë njohuri të specializuara;</w:t>
      </w:r>
    </w:p>
    <w:p w14:paraId="2C88F0D6" w14:textId="681B1474" w:rsidR="00F710F2" w:rsidRPr="00F710F2" w:rsidRDefault="00F710F2" w:rsidP="00C964C4">
      <w:pPr>
        <w:numPr>
          <w:ilvl w:val="0"/>
          <w:numId w:val="6"/>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Mbështesë VT në vlerësimin e kompetencës teknike;</w:t>
      </w:r>
    </w:p>
    <w:p w14:paraId="3E76D127" w14:textId="3ECC5E61" w:rsidR="000639F4" w:rsidRPr="009F7560" w:rsidRDefault="00F710F2" w:rsidP="00C964C4">
      <w:pPr>
        <w:numPr>
          <w:ilvl w:val="0"/>
          <w:numId w:val="6"/>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Japë mendime dhe konstatime teknike të bazuara në dëshmi objektive.</w:t>
      </w:r>
    </w:p>
    <w:p w14:paraId="5B4CBF41" w14:textId="18563688"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 Njohuritë specifike sipas fushave të akreditimit</w:t>
      </w:r>
    </w:p>
    <w:p w14:paraId="2A52082A" w14:textId="77777777" w:rsidR="00F710F2" w:rsidRPr="00F710F2" w:rsidRDefault="00F710F2" w:rsidP="00C964C4">
      <w:pPr>
        <w:shd w:val="clear" w:color="auto" w:fill="FFFFFF"/>
        <w:spacing w:line="240" w:lineRule="auto"/>
        <w:jc w:val="both"/>
        <w:rPr>
          <w:rFonts w:ascii="Calibri" w:eastAsia="Times New Roman" w:hAnsi="Calibri" w:cs="Calibri"/>
          <w:color w:val="222222"/>
          <w:u w:val="single"/>
          <w:lang w:eastAsia="sq-AL"/>
        </w:rPr>
      </w:pPr>
      <w:r w:rsidRPr="0058200D">
        <w:rPr>
          <w:rFonts w:ascii="Times New Roman" w:eastAsia="Times New Roman" w:hAnsi="Times New Roman" w:cs="Times New Roman"/>
          <w:b/>
          <w:bCs/>
          <w:color w:val="222222"/>
          <w:sz w:val="24"/>
          <w:szCs w:val="24"/>
          <w:u w:val="single"/>
          <w:lang w:eastAsia="sq-AL"/>
        </w:rPr>
        <w:t>5.1. Laboratorët testues</w:t>
      </w:r>
    </w:p>
    <w:p w14:paraId="28100E26"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Standardi i akreditimit: ISO/IEC 17025</w:t>
      </w:r>
    </w:p>
    <w:p w14:paraId="0AFB87F2" w14:textId="6F42A586"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për laboratorët testues duhet të kenë njohuri për metodat e testimit, pajisjet, validimin dhe verifikimin e metodave, sigurimin e vlefshmërisë së rezultateve, pasigurinë e matjes kur është e zbatueshme, gjurmueshmërinë metrologjike dhe raportimin e rezultateve.</w:t>
      </w:r>
    </w:p>
    <w:p w14:paraId="6E9B14F8"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5.1.1. Fushat teknike</w:t>
      </w:r>
    </w:p>
    <w:p w14:paraId="4E8067ED"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Njohuritë specifike duhet të mbulojnë, sipas fushës së akreditimit, aktivitetet e mëposhtme:</w:t>
      </w:r>
    </w:p>
    <w:p w14:paraId="2F1FD66D"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a) Produkte bujqësore dhe ushqimore;</w:t>
      </w:r>
    </w:p>
    <w:p w14:paraId="7371D994"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b) Ujë dhe analiza mjedisore;</w:t>
      </w:r>
    </w:p>
    <w:p w14:paraId="71B4F5A1"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c) Tokë dhe materiale natyrore;</w:t>
      </w:r>
    </w:p>
    <w:p w14:paraId="46400CDC"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 Materiale dhe produkte industriale;</w:t>
      </w:r>
    </w:p>
    <w:p w14:paraId="223A3901"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e) Forenzikë;</w:t>
      </w:r>
    </w:p>
    <w:p w14:paraId="2EA9901D"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f) Karburante;</w:t>
      </w:r>
    </w:p>
    <w:p w14:paraId="3A0A7D94"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g) Produkte farmaceutike;</w:t>
      </w:r>
    </w:p>
    <w:p w14:paraId="3F8076D3"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h) Testime që lidhen me tahografë, enë nën presion, ashensorë dhe pajisje.</w:t>
      </w:r>
    </w:p>
    <w:p w14:paraId="5777B9BC" w14:textId="4E433923"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5.1.2. Dokumentet e zbatueshme</w:t>
      </w:r>
      <w:r w:rsidR="001E2DB6">
        <w:rPr>
          <w:rFonts w:ascii="Calibri" w:eastAsia="Times New Roman" w:hAnsi="Calibri" w:cs="Calibri"/>
          <w:color w:val="222222"/>
          <w:lang w:eastAsia="sq-AL"/>
        </w:rPr>
        <w:t xml:space="preserve">: </w:t>
      </w:r>
      <w:r w:rsidRPr="00F710F2">
        <w:rPr>
          <w:rFonts w:ascii="Times New Roman" w:eastAsia="Times New Roman" w:hAnsi="Times New Roman" w:cs="Times New Roman"/>
          <w:color w:val="222222"/>
          <w:sz w:val="24"/>
          <w:szCs w:val="24"/>
          <w:lang w:eastAsia="sq-AL"/>
        </w:rPr>
        <w:t>VT dhe ET duhet të njohin dhe të jenë në gjendje të zbatojnë, sipas fushës përkatëse:</w:t>
      </w:r>
      <w:r w:rsidR="001E2DB6">
        <w:rPr>
          <w:rFonts w:ascii="Calibri" w:eastAsia="Times New Roman" w:hAnsi="Calibri" w:cs="Calibri"/>
          <w:color w:val="222222"/>
          <w:lang w:eastAsia="sq-AL"/>
        </w:rPr>
        <w:t xml:space="preserve"> </w:t>
      </w:r>
      <w:r w:rsidR="001E2DB6" w:rsidRPr="006C7E9E">
        <w:rPr>
          <w:rFonts w:ascii="Times New Roman" w:eastAsia="Times New Roman" w:hAnsi="Times New Roman" w:cs="Times New Roman"/>
          <w:color w:val="222222"/>
          <w:sz w:val="24"/>
          <w:szCs w:val="24"/>
          <w:lang w:eastAsia="sq-AL"/>
        </w:rPr>
        <w:t>d</w:t>
      </w:r>
      <w:r w:rsidRPr="00F710F2">
        <w:rPr>
          <w:rFonts w:ascii="Times New Roman" w:eastAsia="Times New Roman" w:hAnsi="Times New Roman" w:cs="Times New Roman"/>
          <w:color w:val="222222"/>
          <w:sz w:val="24"/>
          <w:szCs w:val="24"/>
          <w:lang w:eastAsia="sq-AL"/>
        </w:rPr>
        <w:t>okumentet e DAK-PO-04; DAK-PO-05; DAK-PO-06</w:t>
      </w:r>
      <w:r w:rsidR="00CF5898">
        <w:rPr>
          <w:rFonts w:ascii="Times New Roman" w:eastAsia="Times New Roman" w:hAnsi="Times New Roman" w:cs="Times New Roman"/>
          <w:color w:val="222222"/>
          <w:sz w:val="24"/>
          <w:szCs w:val="24"/>
          <w:lang w:eastAsia="sq-AL"/>
        </w:rPr>
        <w:t xml:space="preserve">, </w:t>
      </w:r>
      <w:r w:rsidR="00CF5898" w:rsidRPr="00CF5898">
        <w:rPr>
          <w:rFonts w:ascii="Times New Roman" w:eastAsia="Times New Roman" w:hAnsi="Times New Roman" w:cs="Times New Roman"/>
          <w:color w:val="222222"/>
          <w:sz w:val="24"/>
          <w:szCs w:val="24"/>
          <w:lang w:eastAsia="sq-AL"/>
        </w:rPr>
        <w:t>d</w:t>
      </w:r>
      <w:r w:rsidRPr="00F710F2">
        <w:rPr>
          <w:rFonts w:ascii="Times New Roman" w:eastAsia="Times New Roman" w:hAnsi="Times New Roman" w:cs="Times New Roman"/>
          <w:color w:val="222222"/>
          <w:sz w:val="24"/>
          <w:szCs w:val="24"/>
          <w:lang w:eastAsia="sq-AL"/>
        </w:rPr>
        <w:t>okumentet e ILAC: ILAC-P9:01/2024; ILAC-P10:07/2020; ILAC-G17:01/2021; ILAC-G18:01/2024; ILAC-G19:06/2022; ILAC-G24:2022</w:t>
      </w:r>
      <w:r w:rsidR="00CF5898">
        <w:rPr>
          <w:rFonts w:ascii="Times New Roman" w:eastAsia="Times New Roman" w:hAnsi="Times New Roman" w:cs="Times New Roman"/>
          <w:color w:val="222222"/>
          <w:sz w:val="24"/>
          <w:szCs w:val="24"/>
          <w:lang w:eastAsia="sq-AL"/>
        </w:rPr>
        <w:t xml:space="preserve">, </w:t>
      </w:r>
      <w:r w:rsidR="00CF5898" w:rsidRPr="00D32D34">
        <w:rPr>
          <w:rFonts w:ascii="Times New Roman" w:eastAsia="Times New Roman" w:hAnsi="Times New Roman" w:cs="Times New Roman"/>
          <w:color w:val="222222"/>
          <w:sz w:val="24"/>
          <w:szCs w:val="24"/>
          <w:lang w:eastAsia="sq-AL"/>
        </w:rPr>
        <w:t>d</w:t>
      </w:r>
      <w:r w:rsidRPr="00F710F2">
        <w:rPr>
          <w:rFonts w:ascii="Times New Roman" w:eastAsia="Times New Roman" w:hAnsi="Times New Roman" w:cs="Times New Roman"/>
          <w:color w:val="222222"/>
          <w:sz w:val="24"/>
          <w:szCs w:val="24"/>
          <w:lang w:eastAsia="sq-AL"/>
        </w:rPr>
        <w:t>okumentet e EA: EA-4/09 G:2022; EA-4/14 INF; EA-4/16 G; EA-4/18 G:2021; EA-4/21 INF:2018.</w:t>
      </w:r>
    </w:p>
    <w:p w14:paraId="271D4434"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5.1.3. Kriteri i kompetencës</w:t>
      </w:r>
    </w:p>
    <w:p w14:paraId="28CE4FBD" w14:textId="087AC4F5"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 zbat</w:t>
      </w:r>
      <w:r w:rsidR="004E1357">
        <w:rPr>
          <w:rFonts w:ascii="Times New Roman" w:eastAsia="Times New Roman" w:hAnsi="Times New Roman" w:cs="Times New Roman"/>
          <w:color w:val="222222"/>
          <w:sz w:val="24"/>
          <w:szCs w:val="24"/>
          <w:lang w:eastAsia="sq-AL"/>
        </w:rPr>
        <w:t>oj</w:t>
      </w:r>
      <w:r w:rsidRPr="00F710F2">
        <w:rPr>
          <w:rFonts w:ascii="Times New Roman" w:eastAsia="Times New Roman" w:hAnsi="Times New Roman" w:cs="Times New Roman"/>
          <w:color w:val="222222"/>
          <w:sz w:val="24"/>
          <w:szCs w:val="24"/>
          <w:lang w:eastAsia="sq-AL"/>
        </w:rPr>
        <w:t xml:space="preserve"> ISO/IEC 17025 dhe kërkesa</w:t>
      </w:r>
      <w:r w:rsidR="004E1357">
        <w:rPr>
          <w:rFonts w:ascii="Times New Roman" w:eastAsia="Times New Roman" w:hAnsi="Times New Roman" w:cs="Times New Roman"/>
          <w:color w:val="222222"/>
          <w:sz w:val="24"/>
          <w:szCs w:val="24"/>
          <w:lang w:eastAsia="sq-AL"/>
        </w:rPr>
        <w:t>t</w:t>
      </w:r>
      <w:r w:rsidRPr="00F710F2">
        <w:rPr>
          <w:rFonts w:ascii="Times New Roman" w:eastAsia="Times New Roman" w:hAnsi="Times New Roman" w:cs="Times New Roman"/>
          <w:color w:val="222222"/>
          <w:sz w:val="24"/>
          <w:szCs w:val="24"/>
          <w:lang w:eastAsia="sq-AL"/>
        </w:rPr>
        <w:t xml:space="preserve"> përkatëse të DAK, EA dhe ILAC në fushën e akreditimit.</w:t>
      </w:r>
    </w:p>
    <w:p w14:paraId="4649B80A" w14:textId="7B8FEF57" w:rsidR="00D91AEA" w:rsidRDefault="00D91AEA" w:rsidP="00C964C4">
      <w:pPr>
        <w:shd w:val="clear" w:color="auto" w:fill="FFFFFF"/>
        <w:spacing w:line="240" w:lineRule="auto"/>
        <w:jc w:val="both"/>
        <w:rPr>
          <w:rFonts w:ascii="Times New Roman" w:eastAsia="Times New Roman" w:hAnsi="Times New Roman" w:cs="Times New Roman"/>
          <w:color w:val="222222"/>
          <w:sz w:val="24"/>
          <w:szCs w:val="24"/>
          <w:lang w:eastAsia="sq-AL"/>
        </w:rPr>
      </w:pPr>
      <w:r w:rsidRPr="00D91AEA">
        <w:rPr>
          <w:rFonts w:ascii="Times New Roman" w:eastAsia="Times New Roman" w:hAnsi="Times New Roman" w:cs="Times New Roman"/>
          <w:color w:val="222222"/>
          <w:sz w:val="24"/>
          <w:szCs w:val="24"/>
          <w:lang w:eastAsia="sq-AL"/>
        </w:rPr>
        <w:lastRenderedPageBreak/>
        <w:t xml:space="preserve">ET duhet të </w:t>
      </w:r>
      <w:r w:rsidR="00941A7D">
        <w:rPr>
          <w:rFonts w:ascii="Times New Roman" w:eastAsia="Times New Roman" w:hAnsi="Times New Roman" w:cs="Times New Roman"/>
          <w:color w:val="222222"/>
          <w:sz w:val="24"/>
          <w:szCs w:val="24"/>
          <w:lang w:eastAsia="sq-AL"/>
        </w:rPr>
        <w:t>ket</w:t>
      </w:r>
      <w:r w:rsidRPr="00D91AEA">
        <w:rPr>
          <w:rFonts w:ascii="Times New Roman" w:eastAsia="Times New Roman" w:hAnsi="Times New Roman" w:cs="Times New Roman"/>
          <w:color w:val="222222"/>
          <w:sz w:val="24"/>
          <w:szCs w:val="24"/>
          <w:lang w:eastAsia="sq-AL"/>
        </w:rPr>
        <w:t>ë njohuri dhe përvojë të përshtatshme në metodat, teknologjitë, pajisjet ose fushat e testimit për të cilat angazhohet.</w:t>
      </w:r>
    </w:p>
    <w:p w14:paraId="60DDA3D1" w14:textId="494DBC9D" w:rsidR="00F710F2" w:rsidRPr="00F710F2" w:rsidRDefault="00F710F2" w:rsidP="00C964C4">
      <w:pPr>
        <w:shd w:val="clear" w:color="auto" w:fill="FFFFFF"/>
        <w:spacing w:line="240" w:lineRule="auto"/>
        <w:jc w:val="both"/>
        <w:rPr>
          <w:rFonts w:ascii="Calibri" w:eastAsia="Times New Roman" w:hAnsi="Calibri" w:cs="Calibri"/>
          <w:color w:val="222222"/>
          <w:u w:val="single"/>
          <w:lang w:eastAsia="sq-AL"/>
        </w:rPr>
      </w:pPr>
      <w:r w:rsidRPr="0058200D">
        <w:rPr>
          <w:rFonts w:ascii="Times New Roman" w:eastAsia="Times New Roman" w:hAnsi="Times New Roman" w:cs="Times New Roman"/>
          <w:b/>
          <w:bCs/>
          <w:color w:val="222222"/>
          <w:sz w:val="24"/>
          <w:szCs w:val="24"/>
          <w:u w:val="single"/>
          <w:lang w:eastAsia="sq-AL"/>
        </w:rPr>
        <w:t>5.2. Laboratorët kalibrues</w:t>
      </w:r>
    </w:p>
    <w:p w14:paraId="31E276EC"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Standardi i akreditimit: SK EN ISO/IEC 17025</w:t>
      </w:r>
    </w:p>
    <w:p w14:paraId="57F90816" w14:textId="7E266BB4"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duhet të kenë njohuri për:</w:t>
      </w:r>
    </w:p>
    <w:p w14:paraId="07B8115B"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Parimet dhe metodat e kalibrimit;</w:t>
      </w:r>
    </w:p>
    <w:p w14:paraId="3B7E8FF9"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Gjurmueshmërinë metrologjike;</w:t>
      </w:r>
    </w:p>
    <w:p w14:paraId="01661AFA"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Pasigurinë e matjes;</w:t>
      </w:r>
    </w:p>
    <w:p w14:paraId="4525A24A"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Vlerësimin e rezultateve të kalibrimit;</w:t>
      </w:r>
    </w:p>
    <w:p w14:paraId="4FCFD6F0"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Përdorimin dhe mirëmbajtjen e etaloneve dhe pajisjeve matëse;</w:t>
      </w:r>
    </w:p>
    <w:p w14:paraId="73758343"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Kushtet mjedisore që ndikojnë në rezultatet e kalibrimit;</w:t>
      </w:r>
    </w:p>
    <w:p w14:paraId="7E398584" w14:textId="77777777" w:rsidR="00F710F2" w:rsidRPr="00F710F2" w:rsidRDefault="00F710F2" w:rsidP="00C964C4">
      <w:pPr>
        <w:numPr>
          <w:ilvl w:val="0"/>
          <w:numId w:val="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Raportimin dhe interpretimin e rezultateve të kalibrimit.</w:t>
      </w:r>
    </w:p>
    <w:p w14:paraId="7FC4139B"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5.2.1. Fushat teknike</w:t>
      </w:r>
    </w:p>
    <w:p w14:paraId="20312EDA"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Njohuritë specifike duhet të mbulojnë:</w:t>
      </w:r>
    </w:p>
    <w:p w14:paraId="19DF1952" w14:textId="77777777" w:rsidR="00F710F2" w:rsidRPr="00F710F2" w:rsidRDefault="00F710F2" w:rsidP="00C964C4">
      <w:pPr>
        <w:numPr>
          <w:ilvl w:val="0"/>
          <w:numId w:val="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Masën;</w:t>
      </w:r>
    </w:p>
    <w:p w14:paraId="1EDB1424" w14:textId="77777777" w:rsidR="00F710F2" w:rsidRPr="00F710F2" w:rsidRDefault="00F710F2" w:rsidP="00C964C4">
      <w:pPr>
        <w:numPr>
          <w:ilvl w:val="0"/>
          <w:numId w:val="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Vëllimin;</w:t>
      </w:r>
    </w:p>
    <w:p w14:paraId="55A06924" w14:textId="77777777" w:rsidR="00F710F2" w:rsidRPr="00F710F2" w:rsidRDefault="00F710F2" w:rsidP="00C964C4">
      <w:pPr>
        <w:numPr>
          <w:ilvl w:val="0"/>
          <w:numId w:val="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Temperaturën;</w:t>
      </w:r>
    </w:p>
    <w:p w14:paraId="05EE6F89" w14:textId="77777777" w:rsidR="00F710F2" w:rsidRPr="00F710F2" w:rsidRDefault="00F710F2" w:rsidP="00C964C4">
      <w:pPr>
        <w:numPr>
          <w:ilvl w:val="0"/>
          <w:numId w:val="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Forcën.</w:t>
      </w:r>
    </w:p>
    <w:p w14:paraId="6069D4BF" w14:textId="3EC470F8" w:rsidR="00F710F2" w:rsidRPr="00F710F2" w:rsidRDefault="00F710F2" w:rsidP="001913EA">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5.2.2. Dokumentet e zbatueshme</w:t>
      </w:r>
      <w:r w:rsidR="001913EA">
        <w:rPr>
          <w:rFonts w:ascii="Calibri" w:eastAsia="Times New Roman" w:hAnsi="Calibri" w:cs="Calibri"/>
          <w:color w:val="222222"/>
          <w:lang w:eastAsia="sq-AL"/>
        </w:rPr>
        <w:t>: d</w:t>
      </w:r>
      <w:r w:rsidRPr="00F710F2">
        <w:rPr>
          <w:rFonts w:ascii="Times New Roman" w:eastAsia="Times New Roman" w:hAnsi="Times New Roman" w:cs="Times New Roman"/>
          <w:color w:val="222222"/>
          <w:sz w:val="24"/>
          <w:szCs w:val="24"/>
          <w:lang w:eastAsia="sq-AL"/>
        </w:rPr>
        <w:t>okumentet e DAK;</w:t>
      </w:r>
      <w:r w:rsidR="001913EA">
        <w:rPr>
          <w:rFonts w:ascii="Calibri" w:eastAsia="Times New Roman" w:hAnsi="Calibri" w:cs="Calibri"/>
          <w:color w:val="222222"/>
          <w:lang w:eastAsia="sq-AL"/>
        </w:rPr>
        <w:t xml:space="preserve"> d</w:t>
      </w:r>
      <w:r w:rsidRPr="00F710F2">
        <w:rPr>
          <w:rFonts w:ascii="Times New Roman" w:eastAsia="Times New Roman" w:hAnsi="Times New Roman" w:cs="Times New Roman"/>
          <w:color w:val="222222"/>
          <w:sz w:val="24"/>
          <w:szCs w:val="24"/>
          <w:lang w:eastAsia="sq-AL"/>
        </w:rPr>
        <w:t>okumentet e EA: EA-4/02 M:2022;</w:t>
      </w:r>
      <w:r w:rsidR="001913EA">
        <w:rPr>
          <w:rFonts w:ascii="Calibri" w:eastAsia="Times New Roman" w:hAnsi="Calibri" w:cs="Calibri"/>
          <w:color w:val="222222"/>
          <w:lang w:eastAsia="sq-AL"/>
        </w:rPr>
        <w:t xml:space="preserve"> </w:t>
      </w:r>
      <w:r w:rsidR="001913EA">
        <w:rPr>
          <w:rFonts w:ascii="Times New Roman" w:eastAsia="Times New Roman" w:hAnsi="Times New Roman" w:cs="Times New Roman"/>
          <w:color w:val="222222"/>
          <w:sz w:val="24"/>
          <w:szCs w:val="24"/>
          <w:lang w:eastAsia="sq-AL"/>
        </w:rPr>
        <w:t>d</w:t>
      </w:r>
      <w:r w:rsidRPr="00F710F2">
        <w:rPr>
          <w:rFonts w:ascii="Times New Roman" w:eastAsia="Times New Roman" w:hAnsi="Times New Roman" w:cs="Times New Roman"/>
          <w:color w:val="222222"/>
          <w:sz w:val="24"/>
          <w:szCs w:val="24"/>
          <w:lang w:eastAsia="sq-AL"/>
        </w:rPr>
        <w:t>okumentet e ILAC: ILAC-P9:01/2024; ILAC-P10:07/2020; ILAC-P14:09/2020; ILAC-G18:01/2024; ILAC-G24:2022.</w:t>
      </w:r>
    </w:p>
    <w:p w14:paraId="57138C0F"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5.2.3. Kriteri i kompetencës</w:t>
      </w:r>
    </w:p>
    <w:p w14:paraId="23F11223" w14:textId="3D8C12FC"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 vlerësojë kompetencën e laboratorit në fushën përkatëse të kalibrimit, duke përfshirë metodat, gjurmueshmërinë metrologjike, pasigurinë e matjes dhe vlefshmërinë e rezultateve.</w:t>
      </w:r>
    </w:p>
    <w:p w14:paraId="725197C3" w14:textId="5F0FDF7F"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 xml:space="preserve">ET duhet të </w:t>
      </w:r>
      <w:r w:rsidR="00941A7D">
        <w:rPr>
          <w:rFonts w:ascii="Times New Roman" w:eastAsia="Times New Roman" w:hAnsi="Times New Roman" w:cs="Times New Roman"/>
          <w:color w:val="222222"/>
          <w:sz w:val="24"/>
          <w:szCs w:val="24"/>
          <w:lang w:eastAsia="sq-AL"/>
        </w:rPr>
        <w:t>ket</w:t>
      </w:r>
      <w:r w:rsidRPr="00F710F2">
        <w:rPr>
          <w:rFonts w:ascii="Times New Roman" w:eastAsia="Times New Roman" w:hAnsi="Times New Roman" w:cs="Times New Roman"/>
          <w:color w:val="222222"/>
          <w:sz w:val="24"/>
          <w:szCs w:val="24"/>
          <w:lang w:eastAsia="sq-AL"/>
        </w:rPr>
        <w:t xml:space="preserve">ë </w:t>
      </w:r>
      <w:r w:rsidR="00AA5990" w:rsidRPr="00D91AEA">
        <w:rPr>
          <w:rFonts w:ascii="Times New Roman" w:eastAsia="Times New Roman" w:hAnsi="Times New Roman" w:cs="Times New Roman"/>
          <w:color w:val="222222"/>
          <w:sz w:val="24"/>
          <w:szCs w:val="24"/>
          <w:lang w:eastAsia="sq-AL"/>
        </w:rPr>
        <w:t>njohuri dhe përvojë të përshtatshme</w:t>
      </w:r>
      <w:r w:rsidRPr="00F710F2">
        <w:rPr>
          <w:rFonts w:ascii="Times New Roman" w:eastAsia="Times New Roman" w:hAnsi="Times New Roman" w:cs="Times New Roman"/>
          <w:color w:val="222222"/>
          <w:sz w:val="24"/>
          <w:szCs w:val="24"/>
          <w:lang w:eastAsia="sq-AL"/>
        </w:rPr>
        <w:t xml:space="preserve"> në madhësinë fizike dhe fushën e kalibrimit për të cilën angazhohet.</w:t>
      </w:r>
    </w:p>
    <w:p w14:paraId="3F3805E2" w14:textId="77777777" w:rsidR="00F710F2" w:rsidRPr="00F710F2" w:rsidRDefault="00F710F2" w:rsidP="00C964C4">
      <w:pPr>
        <w:shd w:val="clear" w:color="auto" w:fill="FFFFFF"/>
        <w:spacing w:line="240" w:lineRule="auto"/>
        <w:jc w:val="both"/>
        <w:rPr>
          <w:rFonts w:ascii="Calibri" w:eastAsia="Times New Roman" w:hAnsi="Calibri" w:cs="Calibri"/>
          <w:color w:val="222222"/>
          <w:u w:val="single"/>
          <w:lang w:eastAsia="sq-AL"/>
        </w:rPr>
      </w:pPr>
      <w:r w:rsidRPr="0058200D">
        <w:rPr>
          <w:rFonts w:ascii="Times New Roman" w:eastAsia="Times New Roman" w:hAnsi="Times New Roman" w:cs="Times New Roman"/>
          <w:b/>
          <w:bCs/>
          <w:color w:val="222222"/>
          <w:sz w:val="24"/>
          <w:szCs w:val="24"/>
          <w:u w:val="single"/>
          <w:lang w:eastAsia="sq-AL"/>
        </w:rPr>
        <w:t>5.3. Trupat inspektues</w:t>
      </w:r>
    </w:p>
    <w:p w14:paraId="63467442"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Standardi i akreditimit: SK EN ISO/IEC 17020</w:t>
      </w:r>
    </w:p>
    <w:p w14:paraId="20E6FAEB" w14:textId="463622D2"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duhet të kenë njohuri për:</w:t>
      </w:r>
    </w:p>
    <w:p w14:paraId="5834D546" w14:textId="77777777" w:rsidR="00F710F2" w:rsidRPr="00F710F2" w:rsidRDefault="00F710F2" w:rsidP="00C964C4">
      <w:pPr>
        <w:numPr>
          <w:ilvl w:val="0"/>
          <w:numId w:val="10"/>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lastRenderedPageBreak/>
        <w:t>Parimet dhe metodat e inspektimit;</w:t>
      </w:r>
    </w:p>
    <w:p w14:paraId="7DE6B857" w14:textId="77777777" w:rsidR="00F710F2" w:rsidRPr="00F710F2" w:rsidRDefault="00F710F2" w:rsidP="00C964C4">
      <w:pPr>
        <w:numPr>
          <w:ilvl w:val="0"/>
          <w:numId w:val="10"/>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Vlerësimin e kompetencës dhe paanshmërisë së trupit inspektues;</w:t>
      </w:r>
    </w:p>
    <w:p w14:paraId="173AE09D" w14:textId="77777777" w:rsidR="00F710F2" w:rsidRPr="00F710F2" w:rsidRDefault="00F710F2" w:rsidP="00C964C4">
      <w:pPr>
        <w:numPr>
          <w:ilvl w:val="0"/>
          <w:numId w:val="10"/>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Procedurat dhe udhëzimet e inspektimit;</w:t>
      </w:r>
    </w:p>
    <w:p w14:paraId="48C79604" w14:textId="77777777" w:rsidR="00F710F2" w:rsidRPr="00F710F2" w:rsidRDefault="00F710F2" w:rsidP="00C964C4">
      <w:pPr>
        <w:numPr>
          <w:ilvl w:val="0"/>
          <w:numId w:val="10"/>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Pajisjet matëse dhe teknikat e përdorura gjatë inspektimit;</w:t>
      </w:r>
    </w:p>
    <w:p w14:paraId="2BD2ED06" w14:textId="77777777" w:rsidR="00F710F2" w:rsidRPr="00F710F2" w:rsidRDefault="00F710F2" w:rsidP="00C964C4">
      <w:pPr>
        <w:numPr>
          <w:ilvl w:val="0"/>
          <w:numId w:val="10"/>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Kërkesat ligjore dhe teknike që zbatohen në fushën përkatëse;</w:t>
      </w:r>
    </w:p>
    <w:p w14:paraId="55DBC34A" w14:textId="77777777" w:rsidR="00F710F2" w:rsidRPr="00F710F2" w:rsidRDefault="00F710F2" w:rsidP="00C964C4">
      <w:pPr>
        <w:numPr>
          <w:ilvl w:val="0"/>
          <w:numId w:val="10"/>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Dokumentimin dhe raportimin e rezultateve të inspektimit.</w:t>
      </w:r>
    </w:p>
    <w:p w14:paraId="6ADFCBFE"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5.3.1. Fushat teknike</w:t>
      </w:r>
    </w:p>
    <w:p w14:paraId="26A1AE82"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Njohuritë specifike duhet të mbulojnë:</w:t>
      </w:r>
    </w:p>
    <w:p w14:paraId="23B085F9" w14:textId="77777777" w:rsidR="00F710F2" w:rsidRPr="00F710F2" w:rsidRDefault="00F710F2" w:rsidP="00C964C4">
      <w:pPr>
        <w:numPr>
          <w:ilvl w:val="0"/>
          <w:numId w:val="1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Inspektimin e derivateve të naftës dhe naftës së papërpunuar;</w:t>
      </w:r>
    </w:p>
    <w:p w14:paraId="461065A4" w14:textId="77777777" w:rsidR="00F710F2" w:rsidRPr="00F710F2" w:rsidRDefault="00F710F2" w:rsidP="00C964C4">
      <w:pPr>
        <w:numPr>
          <w:ilvl w:val="0"/>
          <w:numId w:val="1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Metodat e inspektimit dhe kërkesat teknike përkatëse;</w:t>
      </w:r>
    </w:p>
    <w:p w14:paraId="7E1829A7" w14:textId="77777777" w:rsidR="00F710F2" w:rsidRPr="00F710F2" w:rsidRDefault="00F710F2" w:rsidP="00C964C4">
      <w:pPr>
        <w:numPr>
          <w:ilvl w:val="0"/>
          <w:numId w:val="1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Inspektimin e pajisjeve për matjen e rrjedhës;</w:t>
      </w:r>
    </w:p>
    <w:p w14:paraId="0002ED26" w14:textId="77777777" w:rsidR="00F710F2" w:rsidRPr="00F710F2" w:rsidRDefault="00F710F2" w:rsidP="00C964C4">
      <w:pPr>
        <w:numPr>
          <w:ilvl w:val="0"/>
          <w:numId w:val="11"/>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Njohjen e parimeve të funksionimit dhe kërkesave teknike.</w:t>
      </w:r>
    </w:p>
    <w:p w14:paraId="3360703D" w14:textId="797BFE0C" w:rsidR="00F710F2" w:rsidRPr="00F710F2" w:rsidRDefault="00F710F2" w:rsidP="008F0E40">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5.3.2. Dokumentet e zbatueshme</w:t>
      </w:r>
      <w:r w:rsidR="008F0E40">
        <w:rPr>
          <w:rFonts w:ascii="Calibri" w:eastAsia="Times New Roman" w:hAnsi="Calibri" w:cs="Calibri"/>
          <w:color w:val="222222"/>
          <w:lang w:eastAsia="sq-AL"/>
        </w:rPr>
        <w:t>: d</w:t>
      </w:r>
      <w:r w:rsidRPr="00F710F2">
        <w:rPr>
          <w:rFonts w:ascii="Times New Roman" w:eastAsia="Times New Roman" w:hAnsi="Times New Roman" w:cs="Times New Roman"/>
          <w:color w:val="222222"/>
          <w:sz w:val="24"/>
          <w:szCs w:val="24"/>
          <w:lang w:eastAsia="sq-AL"/>
        </w:rPr>
        <w:t>okumentet e EA: EA-5/02, sipas referencës së përcaktuar në dokumentacionin e DAK;</w:t>
      </w:r>
      <w:r w:rsidR="008F0E40">
        <w:rPr>
          <w:rFonts w:ascii="Calibri" w:eastAsia="Times New Roman" w:hAnsi="Calibri" w:cs="Calibri"/>
          <w:color w:val="222222"/>
          <w:lang w:eastAsia="sq-AL"/>
        </w:rPr>
        <w:t xml:space="preserve"> d</w:t>
      </w:r>
      <w:r w:rsidRPr="00F710F2">
        <w:rPr>
          <w:rFonts w:ascii="Times New Roman" w:eastAsia="Times New Roman" w:hAnsi="Times New Roman" w:cs="Times New Roman"/>
          <w:color w:val="222222"/>
          <w:sz w:val="24"/>
          <w:szCs w:val="24"/>
          <w:lang w:eastAsia="sq-AL"/>
        </w:rPr>
        <w:t>okumentet e ILAC: ILAC-P10:07/2020; ILAC-P15:05/2020; ILAC-G27:07/2019; ILAC-G28:07/2018.</w:t>
      </w:r>
    </w:p>
    <w:p w14:paraId="15BE9A25"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5.3.3. Kriteri i kompetencës</w:t>
      </w:r>
    </w:p>
    <w:p w14:paraId="4C2C49F1" w14:textId="3E9165D9"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 vlerësojë zbatimin e ISO/IEC 17020, kompetencën e personelit, metodat e inspektimit dhe zbatimin e kërkesave ligjore e teknike.</w:t>
      </w:r>
    </w:p>
    <w:p w14:paraId="1556021A" w14:textId="454EA989" w:rsidR="00A014B6" w:rsidRPr="00F710F2" w:rsidRDefault="00F710F2" w:rsidP="00C964C4">
      <w:pPr>
        <w:shd w:val="clear" w:color="auto" w:fill="FFFFFF"/>
        <w:spacing w:line="240" w:lineRule="auto"/>
        <w:jc w:val="both"/>
        <w:rPr>
          <w:rFonts w:ascii="Times New Roman" w:eastAsia="Times New Roman" w:hAnsi="Times New Roman" w:cs="Times New Roman"/>
          <w:color w:val="222222"/>
          <w:sz w:val="24"/>
          <w:szCs w:val="24"/>
          <w:lang w:eastAsia="sq-AL"/>
        </w:rPr>
      </w:pPr>
      <w:r w:rsidRPr="00F710F2">
        <w:rPr>
          <w:rFonts w:ascii="Times New Roman" w:eastAsia="Times New Roman" w:hAnsi="Times New Roman" w:cs="Times New Roman"/>
          <w:color w:val="222222"/>
          <w:sz w:val="24"/>
          <w:szCs w:val="24"/>
          <w:lang w:eastAsia="sq-AL"/>
        </w:rPr>
        <w:t xml:space="preserve">ET duhet të ketë </w:t>
      </w:r>
      <w:r w:rsidR="00941A7D">
        <w:rPr>
          <w:rFonts w:ascii="Times New Roman" w:eastAsia="Times New Roman" w:hAnsi="Times New Roman" w:cs="Times New Roman"/>
          <w:color w:val="222222"/>
          <w:sz w:val="24"/>
          <w:szCs w:val="24"/>
          <w:lang w:eastAsia="sq-AL"/>
        </w:rPr>
        <w:t>njohuri</w:t>
      </w:r>
      <w:r w:rsidRPr="00F710F2">
        <w:rPr>
          <w:rFonts w:ascii="Times New Roman" w:eastAsia="Times New Roman" w:hAnsi="Times New Roman" w:cs="Times New Roman"/>
          <w:color w:val="222222"/>
          <w:sz w:val="24"/>
          <w:szCs w:val="24"/>
          <w:lang w:eastAsia="sq-AL"/>
        </w:rPr>
        <w:t xml:space="preserve"> në fushën specifike të inspektimit dhe të mbështesë vlerësimin me njohuri teknike.</w:t>
      </w:r>
    </w:p>
    <w:p w14:paraId="3AD79BDE" w14:textId="77777777" w:rsidR="00F710F2" w:rsidRPr="00F710F2" w:rsidRDefault="00F710F2" w:rsidP="00C964C4">
      <w:pPr>
        <w:shd w:val="clear" w:color="auto" w:fill="FFFFFF"/>
        <w:spacing w:line="240" w:lineRule="auto"/>
        <w:jc w:val="both"/>
        <w:rPr>
          <w:rFonts w:ascii="Calibri" w:eastAsia="Times New Roman" w:hAnsi="Calibri" w:cs="Calibri"/>
          <w:color w:val="222222"/>
          <w:u w:val="single"/>
          <w:lang w:eastAsia="sq-AL"/>
        </w:rPr>
      </w:pPr>
      <w:r w:rsidRPr="0058200D">
        <w:rPr>
          <w:rFonts w:ascii="Times New Roman" w:eastAsia="Times New Roman" w:hAnsi="Times New Roman" w:cs="Times New Roman"/>
          <w:b/>
          <w:bCs/>
          <w:color w:val="222222"/>
          <w:sz w:val="24"/>
          <w:szCs w:val="24"/>
          <w:u w:val="single"/>
          <w:lang w:eastAsia="sq-AL"/>
        </w:rPr>
        <w:t>5.4. Laboratorët e ekzaminimeve mjekësore</w:t>
      </w:r>
    </w:p>
    <w:p w14:paraId="7C836BE9"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Standardi i akreditimit: ISO 15189:2022</w:t>
      </w:r>
    </w:p>
    <w:p w14:paraId="58CFC8CC" w14:textId="24C059CC"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duhet të kenë njohuri për:</w:t>
      </w:r>
    </w:p>
    <w:p w14:paraId="36571D64"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Proceset paraanalitike, analitike dhe postanalitike;</w:t>
      </w:r>
    </w:p>
    <w:p w14:paraId="470F52A7"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Marrjen, identifikimin, transportin dhe ruajtjen e mostrave;</w:t>
      </w:r>
    </w:p>
    <w:p w14:paraId="31E2BBE4"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Validimin dhe verifikimin e metodave të ekzaminimit;</w:t>
      </w:r>
    </w:p>
    <w:p w14:paraId="624EF0E5"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Sigurimin e vlefshmërisë së rezultateve;</w:t>
      </w:r>
    </w:p>
    <w:p w14:paraId="097C5D95"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Kontrollin e brendshëm të cilësisë dhe vlerësimin e jashtëm të cilësisë;</w:t>
      </w:r>
    </w:p>
    <w:p w14:paraId="031ECF2F"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Kompetencën e personelit dhe menaxhimin e pajisjeve;</w:t>
      </w:r>
    </w:p>
    <w:p w14:paraId="4FFEFE70"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Interpretimin dhe raportimin e rezultateve laboratorike;</w:t>
      </w:r>
    </w:p>
    <w:p w14:paraId="0473E9A8" w14:textId="77777777" w:rsidR="00F710F2" w:rsidRPr="00F710F2" w:rsidRDefault="00F710F2" w:rsidP="00C964C4">
      <w:pPr>
        <w:numPr>
          <w:ilvl w:val="0"/>
          <w:numId w:val="13"/>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lastRenderedPageBreak/>
        <w:t>Sigurinë biologjike dhe menaxhimin e rrezikut.</w:t>
      </w:r>
    </w:p>
    <w:p w14:paraId="6DD789C7"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5.4.1. Fushat teknike</w:t>
      </w:r>
    </w:p>
    <w:p w14:paraId="00CD7688"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Njohuritë specifike duhet të mbulojnë:</w:t>
      </w:r>
    </w:p>
    <w:p w14:paraId="6548EDC9"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a) Kimi klinike;</w:t>
      </w:r>
    </w:p>
    <w:p w14:paraId="39D72292"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b) Hematologji;</w:t>
      </w:r>
    </w:p>
    <w:p w14:paraId="0D560539"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c) Diagnostikim molekular;</w:t>
      </w:r>
    </w:p>
    <w:p w14:paraId="38130871"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 Mikrobiologji klinike;</w:t>
      </w:r>
    </w:p>
    <w:p w14:paraId="4D379B63"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e) Patologji anatomike;</w:t>
      </w:r>
    </w:p>
    <w:p w14:paraId="6950F19D"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f) Transfuziologji;</w:t>
      </w:r>
    </w:p>
    <w:p w14:paraId="61520D44"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g) Teknologji riprodhuese dhe banka biologjike.</w:t>
      </w:r>
    </w:p>
    <w:p w14:paraId="342525EF" w14:textId="7FF75B09" w:rsidR="00F710F2" w:rsidRDefault="00F710F2" w:rsidP="00C964C4">
      <w:pPr>
        <w:shd w:val="clear" w:color="auto" w:fill="FFFFFF"/>
        <w:spacing w:line="240" w:lineRule="auto"/>
        <w:jc w:val="both"/>
        <w:rPr>
          <w:rFonts w:ascii="Times New Roman" w:eastAsia="Times New Roman" w:hAnsi="Times New Roman" w:cs="Times New Roman"/>
          <w:color w:val="222222"/>
          <w:sz w:val="24"/>
          <w:szCs w:val="24"/>
          <w:lang w:eastAsia="sq-AL"/>
        </w:rPr>
      </w:pPr>
      <w:r w:rsidRPr="00F710F2">
        <w:rPr>
          <w:rFonts w:ascii="Times New Roman" w:eastAsia="Times New Roman" w:hAnsi="Times New Roman" w:cs="Times New Roman"/>
          <w:b/>
          <w:bCs/>
          <w:color w:val="222222"/>
          <w:sz w:val="24"/>
          <w:szCs w:val="24"/>
          <w:lang w:eastAsia="sq-AL"/>
        </w:rPr>
        <w:t>5.4.2. Dokumentet e zbatueshme</w:t>
      </w:r>
      <w:r w:rsidR="006A129C">
        <w:rPr>
          <w:rFonts w:ascii="Calibri" w:eastAsia="Times New Roman" w:hAnsi="Calibri" w:cs="Calibri"/>
          <w:color w:val="222222"/>
          <w:lang w:eastAsia="sq-AL"/>
        </w:rPr>
        <w:t>: d</w:t>
      </w:r>
      <w:r w:rsidRPr="00F710F2">
        <w:rPr>
          <w:rFonts w:ascii="Times New Roman" w:eastAsia="Times New Roman" w:hAnsi="Times New Roman" w:cs="Times New Roman"/>
          <w:color w:val="222222"/>
          <w:sz w:val="24"/>
          <w:szCs w:val="24"/>
          <w:lang w:eastAsia="sq-AL"/>
        </w:rPr>
        <w:t>okumentet e EA: EA-4/17 M:2022; EA-4/14 INF:2003; EA-4/14 INF:2010; EA-4/21 INF:2018; EA-3/01 M:2025</w:t>
      </w:r>
      <w:r w:rsidR="006A129C">
        <w:rPr>
          <w:rFonts w:ascii="Times New Roman" w:eastAsia="Times New Roman" w:hAnsi="Times New Roman" w:cs="Times New Roman"/>
          <w:color w:val="222222"/>
          <w:sz w:val="24"/>
          <w:szCs w:val="24"/>
          <w:lang w:eastAsia="sq-AL"/>
        </w:rPr>
        <w:t>, d</w:t>
      </w:r>
      <w:r w:rsidRPr="00F710F2">
        <w:rPr>
          <w:rFonts w:ascii="Times New Roman" w:eastAsia="Times New Roman" w:hAnsi="Times New Roman" w:cs="Times New Roman"/>
          <w:color w:val="222222"/>
          <w:sz w:val="24"/>
          <w:szCs w:val="24"/>
          <w:lang w:eastAsia="sq-AL"/>
        </w:rPr>
        <w:t>okumentet e ILAC: ILAC-P9:06/2014; ILAC-P10:01/2013; ILAC-G18:04/2010; ILAC-G24:2022; ILAC-G26:11/2018.</w:t>
      </w:r>
    </w:p>
    <w:p w14:paraId="102D222F"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5.4.3. Kriteri i kompetencës</w:t>
      </w:r>
    </w:p>
    <w:p w14:paraId="2E852F2E" w14:textId="16AC4B01"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 vlerësojë zbatimin e ISO 15189:2022, proceset laboratorike dhe kërkesat për sigurimin e cilësisë dhe vlefshmërisë së rezultateve.</w:t>
      </w:r>
    </w:p>
    <w:p w14:paraId="466FC3D7" w14:textId="5429FADD" w:rsidR="00F710F2" w:rsidRDefault="00F710F2" w:rsidP="00C964C4">
      <w:pPr>
        <w:shd w:val="clear" w:color="auto" w:fill="FFFFFF"/>
        <w:spacing w:line="240" w:lineRule="auto"/>
        <w:jc w:val="both"/>
        <w:rPr>
          <w:rFonts w:ascii="Times New Roman" w:eastAsia="Times New Roman" w:hAnsi="Times New Roman" w:cs="Times New Roman"/>
          <w:color w:val="222222"/>
          <w:sz w:val="24"/>
          <w:szCs w:val="24"/>
          <w:lang w:eastAsia="sq-AL"/>
        </w:rPr>
      </w:pPr>
      <w:r w:rsidRPr="00F710F2">
        <w:rPr>
          <w:rFonts w:ascii="Times New Roman" w:eastAsia="Times New Roman" w:hAnsi="Times New Roman" w:cs="Times New Roman"/>
          <w:color w:val="222222"/>
          <w:sz w:val="24"/>
          <w:szCs w:val="24"/>
          <w:lang w:eastAsia="sq-AL"/>
        </w:rPr>
        <w:t xml:space="preserve">ET duhet të ketë </w:t>
      </w:r>
      <w:r w:rsidR="009A7913">
        <w:rPr>
          <w:rFonts w:ascii="Times New Roman" w:eastAsia="Times New Roman" w:hAnsi="Times New Roman" w:cs="Times New Roman"/>
          <w:color w:val="222222"/>
          <w:sz w:val="24"/>
          <w:szCs w:val="24"/>
          <w:lang w:eastAsia="sq-AL"/>
        </w:rPr>
        <w:t>njohuri</w:t>
      </w:r>
      <w:r w:rsidRPr="00F710F2">
        <w:rPr>
          <w:rFonts w:ascii="Times New Roman" w:eastAsia="Times New Roman" w:hAnsi="Times New Roman" w:cs="Times New Roman"/>
          <w:color w:val="222222"/>
          <w:sz w:val="24"/>
          <w:szCs w:val="24"/>
          <w:lang w:eastAsia="sq-AL"/>
        </w:rPr>
        <w:t xml:space="preserve"> në disiplinën mjekësore ose laboratorike për të cilën angazhohet dhe të mbështesë vlerësimin me njohuri teknike.</w:t>
      </w:r>
    </w:p>
    <w:p w14:paraId="48B8D790" w14:textId="77777777" w:rsidR="00F710F2" w:rsidRPr="00F710F2" w:rsidRDefault="00F710F2" w:rsidP="00C964C4">
      <w:pPr>
        <w:shd w:val="clear" w:color="auto" w:fill="FFFFFF"/>
        <w:spacing w:line="240" w:lineRule="auto"/>
        <w:jc w:val="both"/>
        <w:rPr>
          <w:rFonts w:ascii="Calibri" w:eastAsia="Times New Roman" w:hAnsi="Calibri" w:cs="Calibri"/>
          <w:color w:val="222222"/>
          <w:u w:val="single"/>
          <w:lang w:eastAsia="sq-AL"/>
        </w:rPr>
      </w:pPr>
      <w:r w:rsidRPr="0058200D">
        <w:rPr>
          <w:rFonts w:ascii="Times New Roman" w:eastAsia="Times New Roman" w:hAnsi="Times New Roman" w:cs="Times New Roman"/>
          <w:b/>
          <w:bCs/>
          <w:color w:val="222222"/>
          <w:sz w:val="24"/>
          <w:szCs w:val="24"/>
          <w:u w:val="single"/>
          <w:lang w:eastAsia="sq-AL"/>
        </w:rPr>
        <w:t>5.5. Trupat e certifikimit të produkteve</w:t>
      </w:r>
    </w:p>
    <w:p w14:paraId="76327B96"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Standardi i akreditimit: ISO/IEC 17065</w:t>
      </w:r>
    </w:p>
    <w:p w14:paraId="09BC2640" w14:textId="67D82BC6"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duhet të kenë njohuri për:</w:t>
      </w:r>
    </w:p>
    <w:p w14:paraId="1214295D" w14:textId="77777777" w:rsidR="00F710F2" w:rsidRPr="00F710F2" w:rsidRDefault="00F710F2" w:rsidP="00C964C4">
      <w:pPr>
        <w:numPr>
          <w:ilvl w:val="0"/>
          <w:numId w:val="14"/>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Proceset e certifikimit të produkteve;</w:t>
      </w:r>
    </w:p>
    <w:p w14:paraId="2A838C89" w14:textId="77777777" w:rsidR="00F710F2" w:rsidRPr="00F710F2" w:rsidRDefault="00F710F2" w:rsidP="00C964C4">
      <w:pPr>
        <w:numPr>
          <w:ilvl w:val="0"/>
          <w:numId w:val="14"/>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Kërkesat për kompetencën, paanshmërinë dhe funksionimin e trupit të certifikimit;</w:t>
      </w:r>
    </w:p>
    <w:p w14:paraId="13B31CA5" w14:textId="77777777" w:rsidR="00F710F2" w:rsidRPr="00F710F2" w:rsidRDefault="00F710F2" w:rsidP="00C964C4">
      <w:pPr>
        <w:numPr>
          <w:ilvl w:val="0"/>
          <w:numId w:val="14"/>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Vlerësimin e produktit kundrejt kërkesave të përcaktuara;</w:t>
      </w:r>
    </w:p>
    <w:p w14:paraId="595E943F" w14:textId="77777777" w:rsidR="00F710F2" w:rsidRPr="00F710F2" w:rsidRDefault="00F710F2" w:rsidP="00C964C4">
      <w:pPr>
        <w:numPr>
          <w:ilvl w:val="0"/>
          <w:numId w:val="14"/>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Skemat e certifikimit dhe dokumentet normative përkatëse;</w:t>
      </w:r>
    </w:p>
    <w:p w14:paraId="1C6A1878" w14:textId="77777777" w:rsidR="00F710F2" w:rsidRPr="00F710F2" w:rsidRDefault="00F710F2" w:rsidP="00C964C4">
      <w:pPr>
        <w:numPr>
          <w:ilvl w:val="0"/>
          <w:numId w:val="14"/>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Vlerësimin e rezultateve të testimit dhe inspektimit që përdoren në procesin e certifikimit;</w:t>
      </w:r>
    </w:p>
    <w:p w14:paraId="2D39766E" w14:textId="77777777" w:rsidR="00F710F2" w:rsidRPr="00F710F2" w:rsidRDefault="00F710F2" w:rsidP="00C964C4">
      <w:pPr>
        <w:numPr>
          <w:ilvl w:val="0"/>
          <w:numId w:val="14"/>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Marrjen e vendimeve të certifikimit dhe mbikëqyrjen e produkteve të certifikuara.</w:t>
      </w:r>
    </w:p>
    <w:p w14:paraId="108134B4"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5.5.1. Fushat teknike</w:t>
      </w:r>
    </w:p>
    <w:p w14:paraId="47CF8F98"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Njohuritë specifike duhet të mbulojnë:</w:t>
      </w:r>
    </w:p>
    <w:p w14:paraId="00C48886" w14:textId="77777777" w:rsidR="00F710F2" w:rsidRPr="00F710F2" w:rsidRDefault="00F710F2" w:rsidP="00C964C4">
      <w:pPr>
        <w:numPr>
          <w:ilvl w:val="0"/>
          <w:numId w:val="1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Produktet e ndërtimit;</w:t>
      </w:r>
    </w:p>
    <w:p w14:paraId="0EB6290A" w14:textId="77777777" w:rsidR="00F710F2" w:rsidRPr="00F710F2" w:rsidRDefault="00F710F2" w:rsidP="00C964C4">
      <w:pPr>
        <w:numPr>
          <w:ilvl w:val="0"/>
          <w:numId w:val="1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lastRenderedPageBreak/>
        <w:t>Kërkesat teknike dhe normative për produktet e ndërtimit;</w:t>
      </w:r>
    </w:p>
    <w:p w14:paraId="7D512C7D" w14:textId="77777777" w:rsidR="00F710F2" w:rsidRPr="00F710F2" w:rsidRDefault="00F710F2" w:rsidP="00C964C4">
      <w:pPr>
        <w:numPr>
          <w:ilvl w:val="0"/>
          <w:numId w:val="1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Metodat e testimit dhe vlerësimit të konformitetit;</w:t>
      </w:r>
    </w:p>
    <w:p w14:paraId="2E24A42C" w14:textId="77777777" w:rsidR="00F710F2" w:rsidRPr="00F710F2" w:rsidRDefault="00F710F2" w:rsidP="00C964C4">
      <w:pPr>
        <w:numPr>
          <w:ilvl w:val="0"/>
          <w:numId w:val="15"/>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Skemat e certifikimit dhe kërkesat përkatëse ligjore.</w:t>
      </w:r>
    </w:p>
    <w:p w14:paraId="15EA38CC" w14:textId="56A8F9CA" w:rsidR="00F710F2" w:rsidRPr="00F710F2" w:rsidRDefault="00F710F2" w:rsidP="00CE14DE">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5.5.2. Dokumentet e zbatueshme</w:t>
      </w:r>
      <w:r w:rsidR="00CE14DE">
        <w:rPr>
          <w:rFonts w:ascii="Calibri" w:eastAsia="Times New Roman" w:hAnsi="Calibri" w:cs="Calibri"/>
          <w:color w:val="222222"/>
          <w:lang w:eastAsia="sq-AL"/>
        </w:rPr>
        <w:t xml:space="preserve">: </w:t>
      </w:r>
      <w:r w:rsidR="00CE14DE">
        <w:rPr>
          <w:rFonts w:ascii="Times New Roman" w:eastAsia="Times New Roman" w:hAnsi="Times New Roman" w:cs="Times New Roman"/>
          <w:color w:val="222222"/>
          <w:sz w:val="24"/>
          <w:szCs w:val="24"/>
          <w:lang w:eastAsia="sq-AL"/>
        </w:rPr>
        <w:t>d</w:t>
      </w:r>
      <w:r w:rsidRPr="00F710F2">
        <w:rPr>
          <w:rFonts w:ascii="Times New Roman" w:eastAsia="Times New Roman" w:hAnsi="Times New Roman" w:cs="Times New Roman"/>
          <w:color w:val="222222"/>
          <w:sz w:val="24"/>
          <w:szCs w:val="24"/>
          <w:lang w:eastAsia="sq-AL"/>
        </w:rPr>
        <w:t>okumentet e DAK;</w:t>
      </w:r>
      <w:r w:rsidR="00CE14DE">
        <w:rPr>
          <w:rFonts w:ascii="Calibri" w:eastAsia="Times New Roman" w:hAnsi="Calibri" w:cs="Calibri"/>
          <w:color w:val="222222"/>
          <w:lang w:eastAsia="sq-AL"/>
        </w:rPr>
        <w:t xml:space="preserve"> d</w:t>
      </w:r>
      <w:r w:rsidRPr="00F710F2">
        <w:rPr>
          <w:rFonts w:ascii="Times New Roman" w:eastAsia="Times New Roman" w:hAnsi="Times New Roman" w:cs="Times New Roman"/>
          <w:color w:val="222222"/>
          <w:sz w:val="24"/>
          <w:szCs w:val="24"/>
          <w:lang w:eastAsia="sq-AL"/>
        </w:rPr>
        <w:t>okumentet e EA: EA-6/04 M:2011;</w:t>
      </w:r>
      <w:r w:rsidR="00CE14DE">
        <w:rPr>
          <w:rFonts w:ascii="Calibri" w:eastAsia="Times New Roman" w:hAnsi="Calibri" w:cs="Calibri"/>
          <w:color w:val="222222"/>
          <w:lang w:eastAsia="sq-AL"/>
        </w:rPr>
        <w:t xml:space="preserve"> d</w:t>
      </w:r>
      <w:r w:rsidRPr="00F710F2">
        <w:rPr>
          <w:rFonts w:ascii="Times New Roman" w:eastAsia="Times New Roman" w:hAnsi="Times New Roman" w:cs="Times New Roman"/>
          <w:color w:val="222222"/>
          <w:sz w:val="24"/>
          <w:szCs w:val="24"/>
          <w:lang w:eastAsia="sq-AL"/>
        </w:rPr>
        <w:t>okumentet e IAF: IAF MD 4:2025; IAF MD 5:2023.</w:t>
      </w:r>
    </w:p>
    <w:p w14:paraId="5591B6AF"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5.5.3. Kriteri i kompetencës</w:t>
      </w:r>
    </w:p>
    <w:p w14:paraId="521A49D7" w14:textId="348B6F65"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 vlerësojë zbatimin e ISO/IEC 17065 dhe kërkesat përkatëse të skemës së certifikimit.</w:t>
      </w:r>
    </w:p>
    <w:p w14:paraId="582E5E0F" w14:textId="1ACDFF2C" w:rsidR="00EC757A" w:rsidRPr="00F710F2" w:rsidRDefault="00184938" w:rsidP="00C964C4">
      <w:pPr>
        <w:shd w:val="clear" w:color="auto" w:fill="FFFFFF"/>
        <w:spacing w:line="240" w:lineRule="auto"/>
        <w:jc w:val="both"/>
        <w:rPr>
          <w:rFonts w:ascii="Calibri" w:eastAsia="Times New Roman" w:hAnsi="Calibri" w:cs="Calibri"/>
          <w:color w:val="222222"/>
          <w:lang w:eastAsia="sq-AL"/>
        </w:rPr>
      </w:pPr>
      <w:r w:rsidRPr="00184938">
        <w:rPr>
          <w:rFonts w:ascii="Times New Roman" w:eastAsia="Times New Roman" w:hAnsi="Times New Roman" w:cs="Times New Roman"/>
          <w:color w:val="222222"/>
          <w:sz w:val="24"/>
          <w:szCs w:val="24"/>
          <w:lang w:eastAsia="sq-AL"/>
        </w:rPr>
        <w:t>ET duhet të ketë njohuri teknike në produktet e ndërtimit dhe në kërkesat e vlerësimit të konformitetit që lidhen me fushën e akreditimit.</w:t>
      </w:r>
    </w:p>
    <w:p w14:paraId="00A17376" w14:textId="18A5A613"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 xml:space="preserve">6. Njohuritë për dokumentet e DAK, EA, ILAC </w:t>
      </w:r>
    </w:p>
    <w:p w14:paraId="4CD724C6" w14:textId="0398645F"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dhe ET duhet të kenë njohuri të mjaftueshme për dokumentet normative dhe udhëzuese që zbatohen në fushën e tyre të autorizimit.</w:t>
      </w:r>
    </w:p>
    <w:p w14:paraId="74AA8E87"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Këto njohuri përfshijnë:</w:t>
      </w:r>
    </w:p>
    <w:p w14:paraId="4E2ACB1A"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Identifikimin e dokumenteve të zbatueshme për aktivitetin dhe fushën e akreditimit;</w:t>
      </w:r>
    </w:p>
    <w:p w14:paraId="5ABE7A3D"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Kuptimin e qëllimit dhe fushës së zbatimit të secilit dokument;</w:t>
      </w:r>
    </w:p>
    <w:p w14:paraId="58644F2C"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Interpretimin e kërkesave që lidhen me aktivitetin teknik të vlerësimit;</w:t>
      </w:r>
    </w:p>
    <w:p w14:paraId="1B3E4319"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Dallimin ndërmjet dokumenteve normative, politikave, kërkesave të detyrueshme dhe udhëzuesve;</w:t>
      </w:r>
    </w:p>
    <w:p w14:paraId="3EA0D014"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Vlerësimin e zbatimit të dokumenteve nga organi i vlerësimit të konformitetit;</w:t>
      </w:r>
    </w:p>
    <w:p w14:paraId="3A5B595F"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Njohjen e versionit në fuqi të dokumenteve;</w:t>
      </w:r>
    </w:p>
    <w:p w14:paraId="5D805DA3" w14:textId="77777777" w:rsidR="00F710F2" w:rsidRPr="00F710F2" w:rsidRDefault="00F710F2" w:rsidP="00C964C4">
      <w:pPr>
        <w:numPr>
          <w:ilvl w:val="0"/>
          <w:numId w:val="17"/>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Identifikimin e ndryshimeve në dokumentet e zbatueshme dhe ndikimin e tyre në procesin e vlerësimit.</w:t>
      </w:r>
    </w:p>
    <w:p w14:paraId="20952509" w14:textId="084F4869"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VT duhet të jetë në gjendje të vlerësojë zbatimin e dokumenteve të zbatueshme dhe të identifikojë mospërputhjet përkatëse.</w:t>
      </w:r>
    </w:p>
    <w:p w14:paraId="64990A3D" w14:textId="6A03684F" w:rsidR="00C964C4" w:rsidRDefault="00F710F2" w:rsidP="00C964C4">
      <w:pPr>
        <w:shd w:val="clear" w:color="auto" w:fill="FFFFFF"/>
        <w:spacing w:line="240" w:lineRule="auto"/>
        <w:jc w:val="both"/>
        <w:rPr>
          <w:rFonts w:ascii="Times New Roman" w:eastAsia="Times New Roman" w:hAnsi="Times New Roman" w:cs="Times New Roman"/>
          <w:color w:val="222222"/>
          <w:sz w:val="24"/>
          <w:szCs w:val="24"/>
          <w:lang w:eastAsia="sq-AL"/>
        </w:rPr>
      </w:pPr>
      <w:r w:rsidRPr="00F710F2">
        <w:rPr>
          <w:rFonts w:ascii="Times New Roman" w:eastAsia="Times New Roman" w:hAnsi="Times New Roman" w:cs="Times New Roman"/>
          <w:color w:val="222222"/>
          <w:sz w:val="24"/>
          <w:szCs w:val="24"/>
          <w:lang w:eastAsia="sq-AL"/>
        </w:rPr>
        <w:t>ET duhet të ketë njohuri të mjaftueshme për dokumentet që lidhen drejtpërdrejt me ekspertizën teknike dhe të mbështesë VT në interpretimin e tyre.</w:t>
      </w:r>
    </w:p>
    <w:p w14:paraId="6307AABE" w14:textId="382E2E6A" w:rsidR="0037381F" w:rsidRDefault="0037381F" w:rsidP="00C964C4">
      <w:pPr>
        <w:shd w:val="clear" w:color="auto" w:fill="FFFFFF"/>
        <w:spacing w:line="240" w:lineRule="auto"/>
        <w:jc w:val="both"/>
        <w:rPr>
          <w:rFonts w:ascii="Times New Roman" w:eastAsia="Times New Roman" w:hAnsi="Times New Roman" w:cs="Times New Roman"/>
          <w:color w:val="222222"/>
          <w:sz w:val="24"/>
          <w:szCs w:val="24"/>
          <w:lang w:eastAsia="sq-AL"/>
        </w:rPr>
      </w:pPr>
    </w:p>
    <w:p w14:paraId="5EB767DB" w14:textId="3D18241C" w:rsidR="0037381F" w:rsidRDefault="0037381F" w:rsidP="00C964C4">
      <w:pPr>
        <w:shd w:val="clear" w:color="auto" w:fill="FFFFFF"/>
        <w:spacing w:line="240" w:lineRule="auto"/>
        <w:jc w:val="both"/>
        <w:rPr>
          <w:rFonts w:ascii="Times New Roman" w:eastAsia="Times New Roman" w:hAnsi="Times New Roman" w:cs="Times New Roman"/>
          <w:color w:val="222222"/>
          <w:sz w:val="24"/>
          <w:szCs w:val="24"/>
          <w:lang w:eastAsia="sq-AL"/>
        </w:rPr>
      </w:pPr>
    </w:p>
    <w:p w14:paraId="622E210F" w14:textId="1EB722F4" w:rsidR="0037381F" w:rsidRDefault="0037381F" w:rsidP="00C964C4">
      <w:pPr>
        <w:shd w:val="clear" w:color="auto" w:fill="FFFFFF"/>
        <w:spacing w:line="240" w:lineRule="auto"/>
        <w:jc w:val="both"/>
        <w:rPr>
          <w:rFonts w:ascii="Times New Roman" w:eastAsia="Times New Roman" w:hAnsi="Times New Roman" w:cs="Times New Roman"/>
          <w:color w:val="222222"/>
          <w:sz w:val="24"/>
          <w:szCs w:val="24"/>
          <w:lang w:eastAsia="sq-AL"/>
        </w:rPr>
      </w:pPr>
    </w:p>
    <w:p w14:paraId="72C4B0B2" w14:textId="77777777" w:rsidR="0037381F" w:rsidRPr="00F710F2" w:rsidRDefault="0037381F" w:rsidP="00C964C4">
      <w:pPr>
        <w:shd w:val="clear" w:color="auto" w:fill="FFFFFF"/>
        <w:spacing w:line="240" w:lineRule="auto"/>
        <w:jc w:val="both"/>
        <w:rPr>
          <w:rFonts w:ascii="Times New Roman" w:eastAsia="Times New Roman" w:hAnsi="Times New Roman" w:cs="Times New Roman"/>
          <w:color w:val="222222"/>
          <w:sz w:val="24"/>
          <w:szCs w:val="24"/>
          <w:lang w:eastAsia="sq-AL"/>
        </w:rPr>
      </w:pPr>
    </w:p>
    <w:p w14:paraId="552E4F40" w14:textId="77777777"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lastRenderedPageBreak/>
        <w:t>7. Dallimi ndërmjet njohurive të VT-së dhe ET-së</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987"/>
        <w:gridCol w:w="4278"/>
        <w:gridCol w:w="3085"/>
      </w:tblGrid>
      <w:tr w:rsidR="00C964C4" w:rsidRPr="00F710F2" w14:paraId="156804BC" w14:textId="77777777" w:rsidTr="00C964C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CA334A5" w14:textId="77777777" w:rsidR="00F710F2" w:rsidRPr="00F710F2" w:rsidRDefault="00F710F2" w:rsidP="000C103E">
            <w:pPr>
              <w:spacing w:after="0" w:line="240" w:lineRule="auto"/>
              <w:jc w:val="center"/>
              <w:rPr>
                <w:rFonts w:ascii="Calibri" w:eastAsia="Times New Roman" w:hAnsi="Calibri" w:cs="Calibri"/>
                <w:color w:val="222222"/>
                <w:sz w:val="20"/>
                <w:szCs w:val="20"/>
                <w:lang w:eastAsia="sq-AL"/>
              </w:rPr>
            </w:pPr>
            <w:r w:rsidRPr="00F710F2">
              <w:rPr>
                <w:rFonts w:ascii="Times New Roman" w:eastAsia="Times New Roman" w:hAnsi="Times New Roman" w:cs="Times New Roman"/>
                <w:b/>
                <w:bCs/>
                <w:color w:val="222222"/>
                <w:sz w:val="20"/>
                <w:szCs w:val="20"/>
                <w:lang w:eastAsia="sq-AL"/>
              </w:rPr>
              <w:t>Fusha</w:t>
            </w:r>
          </w:p>
        </w:tc>
        <w:tc>
          <w:tcPr>
            <w:tcW w:w="0" w:type="auto"/>
            <w:tcBorders>
              <w:top w:val="single" w:sz="4" w:space="0" w:color="auto"/>
              <w:bottom w:val="single" w:sz="4" w:space="0" w:color="auto"/>
            </w:tcBorders>
            <w:shd w:val="clear" w:color="auto" w:fill="FFFFFF"/>
            <w:tcMar>
              <w:top w:w="15" w:type="dxa"/>
              <w:left w:w="15" w:type="dxa"/>
              <w:bottom w:w="15" w:type="dxa"/>
              <w:right w:w="15" w:type="dxa"/>
            </w:tcMar>
            <w:vAlign w:val="center"/>
            <w:hideMark/>
          </w:tcPr>
          <w:p w14:paraId="4C279B72" w14:textId="77777777" w:rsidR="00F710F2" w:rsidRPr="00F710F2" w:rsidRDefault="00F710F2" w:rsidP="000C103E">
            <w:pPr>
              <w:spacing w:after="0" w:line="240" w:lineRule="auto"/>
              <w:jc w:val="center"/>
              <w:rPr>
                <w:rFonts w:ascii="Calibri" w:eastAsia="Times New Roman" w:hAnsi="Calibri" w:cs="Calibri"/>
                <w:color w:val="222222"/>
                <w:sz w:val="20"/>
                <w:szCs w:val="20"/>
                <w:lang w:eastAsia="sq-AL"/>
              </w:rPr>
            </w:pPr>
            <w:r w:rsidRPr="00F710F2">
              <w:rPr>
                <w:rFonts w:ascii="Times New Roman" w:eastAsia="Times New Roman" w:hAnsi="Times New Roman" w:cs="Times New Roman"/>
                <w:b/>
                <w:bCs/>
                <w:color w:val="222222"/>
                <w:sz w:val="20"/>
                <w:szCs w:val="20"/>
                <w:lang w:eastAsia="sq-AL"/>
              </w:rPr>
              <w:t>Vlerësuesi Teknik (VT)</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68347D9" w14:textId="77777777" w:rsidR="00F710F2" w:rsidRPr="00F710F2" w:rsidRDefault="00F710F2" w:rsidP="000C103E">
            <w:pPr>
              <w:spacing w:after="0" w:line="240" w:lineRule="auto"/>
              <w:jc w:val="center"/>
              <w:rPr>
                <w:rFonts w:ascii="Calibri" w:eastAsia="Times New Roman" w:hAnsi="Calibri" w:cs="Calibri"/>
                <w:color w:val="222222"/>
                <w:sz w:val="20"/>
                <w:szCs w:val="20"/>
                <w:lang w:eastAsia="sq-AL"/>
              </w:rPr>
            </w:pPr>
            <w:r w:rsidRPr="00F710F2">
              <w:rPr>
                <w:rFonts w:ascii="Times New Roman" w:eastAsia="Times New Roman" w:hAnsi="Times New Roman" w:cs="Times New Roman"/>
                <w:b/>
                <w:bCs/>
                <w:color w:val="222222"/>
                <w:sz w:val="20"/>
                <w:szCs w:val="20"/>
                <w:lang w:eastAsia="sq-AL"/>
              </w:rPr>
              <w:t>Eksperti Teknik (ET)</w:t>
            </w:r>
          </w:p>
        </w:tc>
      </w:tr>
      <w:tr w:rsidR="00C964C4" w:rsidRPr="00F710F2" w14:paraId="6AE3C734" w14:textId="77777777" w:rsidTr="00C964C4">
        <w:trPr>
          <w:tblCellSpacing w:w="15" w:type="dxa"/>
        </w:trPr>
        <w:tc>
          <w:tcPr>
            <w:tcW w:w="0" w:type="auto"/>
            <w:tcBorders>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28A5CEA"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Kualifikimi arsimor dhe profesional</w:t>
            </w:r>
          </w:p>
        </w:tc>
        <w:tc>
          <w:tcPr>
            <w:tcW w:w="0" w:type="auto"/>
            <w:tcBorders>
              <w:bottom w:val="single" w:sz="4" w:space="0" w:color="auto"/>
            </w:tcBorders>
            <w:shd w:val="clear" w:color="auto" w:fill="FFFFFF"/>
            <w:tcMar>
              <w:top w:w="15" w:type="dxa"/>
              <w:left w:w="15" w:type="dxa"/>
              <w:bottom w:w="15" w:type="dxa"/>
              <w:right w:w="15" w:type="dxa"/>
            </w:tcMar>
            <w:vAlign w:val="center"/>
            <w:hideMark/>
          </w:tcPr>
          <w:p w14:paraId="211B54D3"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Duhet të ketë kualifikim të përshtatshëm për vlerësimin e kompetencës teknike dhe zbatimin e kërkesave të akreditimit.</w:t>
            </w:r>
          </w:p>
        </w:tc>
        <w:tc>
          <w:tcPr>
            <w:tcW w:w="0" w:type="auto"/>
            <w:tcBorders>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3091F7FF" w14:textId="65A0BB51"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Duhet të ketë kualifikim ose ekspertizë në fushën teknike për të cilën angazhohet.</w:t>
            </w:r>
          </w:p>
        </w:tc>
      </w:tr>
      <w:tr w:rsidR="00757110" w:rsidRPr="00F710F2" w14:paraId="1BE1F929" w14:textId="77777777" w:rsidTr="00C964C4">
        <w:trPr>
          <w:tblCellSpacing w:w="15" w:type="dxa"/>
        </w:trPr>
        <w:tc>
          <w:tcPr>
            <w:tcW w:w="0" w:type="auto"/>
            <w:tcBorders>
              <w:left w:val="single" w:sz="4" w:space="0" w:color="auto"/>
              <w:right w:val="single" w:sz="4" w:space="0" w:color="auto"/>
            </w:tcBorders>
            <w:shd w:val="clear" w:color="auto" w:fill="FFFFFF"/>
            <w:tcMar>
              <w:top w:w="15" w:type="dxa"/>
              <w:left w:w="15" w:type="dxa"/>
              <w:bottom w:w="15" w:type="dxa"/>
              <w:right w:w="15" w:type="dxa"/>
            </w:tcMar>
            <w:vAlign w:val="center"/>
            <w:hideMark/>
          </w:tcPr>
          <w:p w14:paraId="3F5E005D"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Standardet e akreditimit</w:t>
            </w:r>
          </w:p>
        </w:tc>
        <w:tc>
          <w:tcPr>
            <w:tcW w:w="0" w:type="auto"/>
            <w:shd w:val="clear" w:color="auto" w:fill="FFFFFF"/>
            <w:tcMar>
              <w:top w:w="15" w:type="dxa"/>
              <w:left w:w="15" w:type="dxa"/>
              <w:bottom w:w="15" w:type="dxa"/>
              <w:right w:w="15" w:type="dxa"/>
            </w:tcMar>
            <w:vAlign w:val="center"/>
            <w:hideMark/>
          </w:tcPr>
          <w:p w14:paraId="1440CDF9"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Duhet të njohë dhe të vlerësojë zbatimin e standardit përkatës.</w:t>
            </w:r>
          </w:p>
        </w:tc>
        <w:tc>
          <w:tcPr>
            <w:tcW w:w="0" w:type="auto"/>
            <w:tcBorders>
              <w:left w:val="single" w:sz="4" w:space="0" w:color="auto"/>
              <w:right w:val="single" w:sz="4" w:space="0" w:color="auto"/>
            </w:tcBorders>
            <w:shd w:val="clear" w:color="auto" w:fill="FFFFFF"/>
            <w:tcMar>
              <w:top w:w="15" w:type="dxa"/>
              <w:left w:w="15" w:type="dxa"/>
              <w:bottom w:w="15" w:type="dxa"/>
              <w:right w:w="15" w:type="dxa"/>
            </w:tcMar>
            <w:vAlign w:val="center"/>
            <w:hideMark/>
          </w:tcPr>
          <w:p w14:paraId="152A894D"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Duhet të njohë kërkesat që lidhen me ekspertizën e tij.</w:t>
            </w:r>
          </w:p>
        </w:tc>
      </w:tr>
      <w:tr w:rsidR="00C964C4" w:rsidRPr="00F710F2" w14:paraId="6CCC41D4" w14:textId="77777777" w:rsidTr="00C964C4">
        <w:trPr>
          <w:tblCellSpacing w:w="15" w:type="dxa"/>
        </w:trPr>
        <w:tc>
          <w:tcPr>
            <w:tcW w:w="0" w:type="auto"/>
            <w:tcBorders>
              <w:top w:val="single" w:sz="4" w:space="0" w:color="auto"/>
              <w:left w:val="single" w:sz="4" w:space="0" w:color="auto"/>
              <w:right w:val="single" w:sz="4" w:space="0" w:color="auto"/>
            </w:tcBorders>
            <w:shd w:val="clear" w:color="auto" w:fill="FFFFFF"/>
            <w:tcMar>
              <w:top w:w="15" w:type="dxa"/>
              <w:left w:w="15" w:type="dxa"/>
              <w:bottom w:w="15" w:type="dxa"/>
              <w:right w:w="15" w:type="dxa"/>
            </w:tcMar>
            <w:vAlign w:val="center"/>
            <w:hideMark/>
          </w:tcPr>
          <w:p w14:paraId="4720577C"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Dokumentet e DAK, EA, ILAC dhe IAF</w:t>
            </w:r>
          </w:p>
        </w:tc>
        <w:tc>
          <w:tcPr>
            <w:tcW w:w="0" w:type="auto"/>
            <w:tcBorders>
              <w:top w:val="single" w:sz="4" w:space="0" w:color="auto"/>
            </w:tcBorders>
            <w:shd w:val="clear" w:color="auto" w:fill="FFFFFF"/>
            <w:tcMar>
              <w:top w:w="15" w:type="dxa"/>
              <w:left w:w="15" w:type="dxa"/>
              <w:bottom w:w="15" w:type="dxa"/>
              <w:right w:w="15" w:type="dxa"/>
            </w:tcMar>
            <w:vAlign w:val="center"/>
            <w:hideMark/>
          </w:tcPr>
          <w:p w14:paraId="3EC915BA"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Duhet të vlerësojë zbatimin e dokumenteve të zbatueshme.</w:t>
            </w:r>
          </w:p>
        </w:tc>
        <w:tc>
          <w:tcPr>
            <w:tcW w:w="0" w:type="auto"/>
            <w:tcBorders>
              <w:top w:val="single" w:sz="4" w:space="0" w:color="auto"/>
              <w:left w:val="single" w:sz="4" w:space="0" w:color="auto"/>
              <w:right w:val="single" w:sz="4" w:space="0" w:color="auto"/>
            </w:tcBorders>
            <w:shd w:val="clear" w:color="auto" w:fill="FFFFFF"/>
            <w:tcMar>
              <w:top w:w="15" w:type="dxa"/>
              <w:left w:w="15" w:type="dxa"/>
              <w:bottom w:w="15" w:type="dxa"/>
              <w:right w:w="15" w:type="dxa"/>
            </w:tcMar>
            <w:vAlign w:val="center"/>
            <w:hideMark/>
          </w:tcPr>
          <w:p w14:paraId="435346B4"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Duhet të interpretojë kërkesat teknike brenda fushës së ekspertizës.</w:t>
            </w:r>
          </w:p>
        </w:tc>
      </w:tr>
      <w:tr w:rsidR="00C964C4" w:rsidRPr="00F710F2" w14:paraId="7FCABB77" w14:textId="77777777" w:rsidTr="00C964C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3064511"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Metodat dhe procedurat</w:t>
            </w:r>
          </w:p>
        </w:tc>
        <w:tc>
          <w:tcPr>
            <w:tcW w:w="0" w:type="auto"/>
            <w:tcBorders>
              <w:top w:val="single" w:sz="4" w:space="0" w:color="auto"/>
              <w:bottom w:val="single" w:sz="4" w:space="0" w:color="auto"/>
            </w:tcBorders>
            <w:shd w:val="clear" w:color="auto" w:fill="FFFFFF"/>
            <w:tcMar>
              <w:top w:w="15" w:type="dxa"/>
              <w:left w:w="15" w:type="dxa"/>
              <w:bottom w:w="15" w:type="dxa"/>
              <w:right w:w="15" w:type="dxa"/>
            </w:tcMar>
            <w:vAlign w:val="center"/>
            <w:hideMark/>
          </w:tcPr>
          <w:p w14:paraId="5294A279"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Vlerëson përshtatshmërinë dhe zbatimin e tyre.</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B29DB31"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Jep ekspertizë për aspektet teknike të metodave dhe procedurave.</w:t>
            </w:r>
          </w:p>
        </w:tc>
      </w:tr>
      <w:tr w:rsidR="00757110" w:rsidRPr="00F710F2" w14:paraId="73C9EE04" w14:textId="77777777" w:rsidTr="00C964C4">
        <w:trPr>
          <w:tblCellSpacing w:w="15" w:type="dxa"/>
        </w:trPr>
        <w:tc>
          <w:tcPr>
            <w:tcW w:w="0" w:type="auto"/>
            <w:tcBorders>
              <w:left w:val="single" w:sz="4" w:space="0" w:color="auto"/>
              <w:right w:val="single" w:sz="4" w:space="0" w:color="auto"/>
            </w:tcBorders>
            <w:shd w:val="clear" w:color="auto" w:fill="FFFFFF"/>
            <w:tcMar>
              <w:top w:w="15" w:type="dxa"/>
              <w:left w:w="15" w:type="dxa"/>
              <w:bottom w:w="15" w:type="dxa"/>
              <w:right w:w="15" w:type="dxa"/>
            </w:tcMar>
            <w:vAlign w:val="center"/>
            <w:hideMark/>
          </w:tcPr>
          <w:p w14:paraId="1F86CE2D"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Pajisjet dhe teknologjitë</w:t>
            </w:r>
          </w:p>
        </w:tc>
        <w:tc>
          <w:tcPr>
            <w:tcW w:w="0" w:type="auto"/>
            <w:shd w:val="clear" w:color="auto" w:fill="FFFFFF"/>
            <w:tcMar>
              <w:top w:w="15" w:type="dxa"/>
              <w:left w:w="15" w:type="dxa"/>
              <w:bottom w:w="15" w:type="dxa"/>
              <w:right w:w="15" w:type="dxa"/>
            </w:tcMar>
            <w:vAlign w:val="center"/>
            <w:hideMark/>
          </w:tcPr>
          <w:p w14:paraId="11A05743"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Vlerëson përshtatshmërinë dhe përdorimin e tyre.</w:t>
            </w:r>
          </w:p>
        </w:tc>
        <w:tc>
          <w:tcPr>
            <w:tcW w:w="0" w:type="auto"/>
            <w:tcBorders>
              <w:left w:val="single" w:sz="4" w:space="0" w:color="auto"/>
              <w:right w:val="single" w:sz="4" w:space="0" w:color="auto"/>
            </w:tcBorders>
            <w:shd w:val="clear" w:color="auto" w:fill="FFFFFF"/>
            <w:tcMar>
              <w:top w:w="15" w:type="dxa"/>
              <w:left w:w="15" w:type="dxa"/>
              <w:bottom w:w="15" w:type="dxa"/>
              <w:right w:w="15" w:type="dxa"/>
            </w:tcMar>
            <w:vAlign w:val="center"/>
            <w:hideMark/>
          </w:tcPr>
          <w:p w14:paraId="4F4060AF"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Jep ekspertizë për pajisjet dhe teknologjitë specifike.</w:t>
            </w:r>
          </w:p>
        </w:tc>
      </w:tr>
      <w:tr w:rsidR="00C964C4" w:rsidRPr="00F710F2" w14:paraId="7AB3EF73" w14:textId="77777777" w:rsidTr="00C964C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24BD047E"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Gjetjet</w:t>
            </w:r>
          </w:p>
        </w:tc>
        <w:tc>
          <w:tcPr>
            <w:tcW w:w="0" w:type="auto"/>
            <w:tcBorders>
              <w:top w:val="single" w:sz="4" w:space="0" w:color="auto"/>
              <w:bottom w:val="single" w:sz="4" w:space="0" w:color="auto"/>
            </w:tcBorders>
            <w:shd w:val="clear" w:color="auto" w:fill="FFFFFF"/>
            <w:tcMar>
              <w:top w:w="15" w:type="dxa"/>
              <w:left w:w="15" w:type="dxa"/>
              <w:bottom w:w="15" w:type="dxa"/>
              <w:right w:w="15" w:type="dxa"/>
            </w:tcMar>
            <w:vAlign w:val="center"/>
            <w:hideMark/>
          </w:tcPr>
          <w:p w14:paraId="02622520"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Dokumenton dhe vlerëson gjetjet brenda rolit të tij.</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0A36FDD1"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Jep konstatime dhe mendime teknike për ekipin.</w:t>
            </w:r>
          </w:p>
        </w:tc>
      </w:tr>
      <w:tr w:rsidR="00C964C4" w:rsidRPr="00F710F2" w14:paraId="2057CF83" w14:textId="77777777" w:rsidTr="00C964C4">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63F60C45"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Vendimmarrja</w:t>
            </w:r>
          </w:p>
        </w:tc>
        <w:tc>
          <w:tcPr>
            <w:tcW w:w="0" w:type="auto"/>
            <w:tcBorders>
              <w:top w:val="single" w:sz="4" w:space="0" w:color="auto"/>
              <w:bottom w:val="single" w:sz="4" w:space="0" w:color="auto"/>
            </w:tcBorders>
            <w:shd w:val="clear" w:color="auto" w:fill="FFFFFF"/>
            <w:tcMar>
              <w:top w:w="15" w:type="dxa"/>
              <w:left w:w="15" w:type="dxa"/>
              <w:bottom w:w="15" w:type="dxa"/>
              <w:right w:w="15" w:type="dxa"/>
            </w:tcMar>
            <w:vAlign w:val="center"/>
            <w:hideMark/>
          </w:tcPr>
          <w:p w14:paraId="7141AD92"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Nuk merr vendim për akreditim, por kontribuon në vlerësimin teknik.</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FACB990" w14:textId="77777777" w:rsidR="00F710F2" w:rsidRPr="00F710F2" w:rsidRDefault="00F710F2" w:rsidP="00C964C4">
            <w:pPr>
              <w:spacing w:after="0" w:line="240" w:lineRule="auto"/>
              <w:jc w:val="both"/>
              <w:rPr>
                <w:rFonts w:ascii="Calibri" w:eastAsia="Times New Roman" w:hAnsi="Calibri" w:cs="Calibri"/>
                <w:color w:val="222222"/>
                <w:sz w:val="20"/>
                <w:szCs w:val="20"/>
                <w:lang w:eastAsia="sq-AL"/>
              </w:rPr>
            </w:pPr>
            <w:r w:rsidRPr="00F710F2">
              <w:rPr>
                <w:rFonts w:ascii="Times New Roman" w:eastAsia="Times New Roman" w:hAnsi="Times New Roman" w:cs="Times New Roman"/>
                <w:color w:val="222222"/>
                <w:sz w:val="20"/>
                <w:szCs w:val="20"/>
                <w:lang w:eastAsia="sq-AL"/>
              </w:rPr>
              <w:t>Nuk merr vendim për konformitetin ose akreditimin.</w:t>
            </w:r>
          </w:p>
        </w:tc>
      </w:tr>
    </w:tbl>
    <w:p w14:paraId="18BBCE04" w14:textId="77777777" w:rsidR="00F80D58" w:rsidRDefault="00F80D58" w:rsidP="00C964C4">
      <w:pPr>
        <w:shd w:val="clear" w:color="auto" w:fill="FFFFFF"/>
        <w:spacing w:line="240" w:lineRule="auto"/>
        <w:jc w:val="both"/>
        <w:rPr>
          <w:rFonts w:ascii="Times New Roman" w:eastAsia="Times New Roman" w:hAnsi="Times New Roman" w:cs="Times New Roman"/>
          <w:b/>
          <w:bCs/>
          <w:color w:val="222222"/>
          <w:sz w:val="24"/>
          <w:szCs w:val="24"/>
          <w:lang w:eastAsia="sq-AL"/>
        </w:rPr>
      </w:pPr>
    </w:p>
    <w:p w14:paraId="63C0945A" w14:textId="05DB5C84"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b/>
          <w:bCs/>
          <w:color w:val="222222"/>
          <w:sz w:val="24"/>
          <w:szCs w:val="24"/>
          <w:lang w:eastAsia="sq-AL"/>
        </w:rPr>
        <w:t>8. Dëshmitë e kompetencës</w:t>
      </w:r>
    </w:p>
    <w:p w14:paraId="6E0830A3" w14:textId="722343E2" w:rsidR="00F710F2" w:rsidRPr="00F710F2" w:rsidRDefault="00F710F2" w:rsidP="00C964C4">
      <w:p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Kompetenca e VT dhe ET duhet të mbështetet me dëshmi të dokumentuara, të cilat përfshijnë:</w:t>
      </w:r>
    </w:p>
    <w:p w14:paraId="4B3EC54A" w14:textId="6A86FD8F" w:rsidR="00F710F2" w:rsidRPr="00F710F2"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Diplomën dhe kualifikimet profesionale</w:t>
      </w:r>
      <w:r w:rsidR="004939B4">
        <w:rPr>
          <w:rFonts w:ascii="Times New Roman" w:eastAsia="Times New Roman" w:hAnsi="Times New Roman" w:cs="Times New Roman"/>
          <w:color w:val="222222"/>
          <w:sz w:val="24"/>
          <w:szCs w:val="24"/>
          <w:lang w:eastAsia="sq-AL"/>
        </w:rPr>
        <w:t xml:space="preserve"> </w:t>
      </w:r>
      <w:bookmarkStart w:id="0" w:name="_Hlk241219833"/>
      <w:bookmarkStart w:id="1" w:name="_Hlk241219886"/>
      <w:r w:rsidR="004939B4">
        <w:rPr>
          <w:rFonts w:ascii="Times New Roman" w:eastAsia="Times New Roman" w:hAnsi="Times New Roman" w:cs="Times New Roman"/>
          <w:color w:val="222222"/>
          <w:sz w:val="24"/>
          <w:szCs w:val="24"/>
          <w:lang w:eastAsia="sq-AL"/>
        </w:rPr>
        <w:t>(për VT dhe ET);</w:t>
      </w:r>
      <w:bookmarkEnd w:id="0"/>
    </w:p>
    <w:bookmarkEnd w:id="1"/>
    <w:p w14:paraId="42238D43" w14:textId="23BB8695" w:rsidR="00F710F2" w:rsidRPr="00F710F2"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CV-në dhe përvojën e dokumentuar të punës</w:t>
      </w:r>
      <w:r w:rsidR="003A7CC5">
        <w:rPr>
          <w:rFonts w:ascii="Times New Roman" w:eastAsia="Times New Roman" w:hAnsi="Times New Roman" w:cs="Times New Roman"/>
          <w:color w:val="222222"/>
          <w:sz w:val="24"/>
          <w:szCs w:val="24"/>
          <w:lang w:eastAsia="sq-AL"/>
        </w:rPr>
        <w:t xml:space="preserve"> (për VT dhe ET);</w:t>
      </w:r>
    </w:p>
    <w:p w14:paraId="68EF13F6" w14:textId="615E4985" w:rsidR="00F710F2" w:rsidRPr="00F710F2"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Dëshmitë e trajnimeve relevante</w:t>
      </w:r>
      <w:r w:rsidR="003A7CC5">
        <w:rPr>
          <w:rFonts w:ascii="Times New Roman" w:eastAsia="Times New Roman" w:hAnsi="Times New Roman" w:cs="Times New Roman"/>
          <w:color w:val="222222"/>
          <w:sz w:val="24"/>
          <w:szCs w:val="24"/>
          <w:lang w:eastAsia="sq-AL"/>
        </w:rPr>
        <w:t xml:space="preserve"> </w:t>
      </w:r>
      <w:bookmarkStart w:id="2" w:name="_Hlk241219871"/>
      <w:r w:rsidR="003A7CC5">
        <w:rPr>
          <w:rFonts w:ascii="Times New Roman" w:eastAsia="Times New Roman" w:hAnsi="Times New Roman" w:cs="Times New Roman"/>
          <w:color w:val="222222"/>
          <w:sz w:val="24"/>
          <w:szCs w:val="24"/>
          <w:lang w:eastAsia="sq-AL"/>
        </w:rPr>
        <w:t>(vlen për VT</w:t>
      </w:r>
      <w:r w:rsidR="00E0273F">
        <w:rPr>
          <w:rFonts w:ascii="Times New Roman" w:eastAsia="Times New Roman" w:hAnsi="Times New Roman" w:cs="Times New Roman"/>
          <w:color w:val="222222"/>
          <w:sz w:val="24"/>
          <w:szCs w:val="24"/>
          <w:lang w:eastAsia="sq-AL"/>
        </w:rPr>
        <w:t xml:space="preserve">, </w:t>
      </w:r>
      <w:bookmarkStart w:id="3" w:name="_Hlk241225483"/>
      <w:r w:rsidR="00E0273F">
        <w:rPr>
          <w:rFonts w:ascii="Times New Roman" w:eastAsia="Times New Roman" w:hAnsi="Times New Roman" w:cs="Times New Roman"/>
          <w:color w:val="222222"/>
          <w:sz w:val="24"/>
          <w:szCs w:val="24"/>
          <w:lang w:eastAsia="sq-AL"/>
        </w:rPr>
        <w:t>opcionale për ET</w:t>
      </w:r>
      <w:bookmarkEnd w:id="3"/>
      <w:r w:rsidR="003A7CC5">
        <w:rPr>
          <w:rFonts w:ascii="Times New Roman" w:eastAsia="Times New Roman" w:hAnsi="Times New Roman" w:cs="Times New Roman"/>
          <w:color w:val="222222"/>
          <w:sz w:val="24"/>
          <w:szCs w:val="24"/>
          <w:lang w:eastAsia="sq-AL"/>
        </w:rPr>
        <w:t>);</w:t>
      </w:r>
      <w:bookmarkEnd w:id="2"/>
    </w:p>
    <w:p w14:paraId="36DDAF4A" w14:textId="41957121" w:rsidR="00F710F2" w:rsidRPr="00F710F2"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Përvojën në përdorimin e metodave, procedurave dhe pajisjeve</w:t>
      </w:r>
      <w:r w:rsidR="003A7CC5">
        <w:rPr>
          <w:rFonts w:ascii="Times New Roman" w:eastAsia="Times New Roman" w:hAnsi="Times New Roman" w:cs="Times New Roman"/>
          <w:color w:val="222222"/>
          <w:sz w:val="24"/>
          <w:szCs w:val="24"/>
          <w:lang w:eastAsia="sq-AL"/>
        </w:rPr>
        <w:t xml:space="preserve"> (vlen për VT</w:t>
      </w:r>
      <w:r w:rsidR="00E0273F">
        <w:rPr>
          <w:rFonts w:ascii="Times New Roman" w:eastAsia="Times New Roman" w:hAnsi="Times New Roman" w:cs="Times New Roman"/>
          <w:color w:val="222222"/>
          <w:sz w:val="24"/>
          <w:szCs w:val="24"/>
          <w:lang w:eastAsia="sq-AL"/>
        </w:rPr>
        <w:t xml:space="preserve">, </w:t>
      </w:r>
      <w:r w:rsidR="00E0273F">
        <w:rPr>
          <w:rFonts w:ascii="Times New Roman" w:eastAsia="Times New Roman" w:hAnsi="Times New Roman" w:cs="Times New Roman"/>
          <w:color w:val="222222"/>
          <w:sz w:val="24"/>
          <w:szCs w:val="24"/>
          <w:lang w:eastAsia="sq-AL"/>
        </w:rPr>
        <w:t>opcionale për ET</w:t>
      </w:r>
      <w:r w:rsidR="003A7CC5">
        <w:rPr>
          <w:rFonts w:ascii="Times New Roman" w:eastAsia="Times New Roman" w:hAnsi="Times New Roman" w:cs="Times New Roman"/>
          <w:color w:val="222222"/>
          <w:sz w:val="24"/>
          <w:szCs w:val="24"/>
          <w:lang w:eastAsia="sq-AL"/>
        </w:rPr>
        <w:t>);</w:t>
      </w:r>
    </w:p>
    <w:p w14:paraId="719A8B70" w14:textId="53550335" w:rsidR="00F710F2" w:rsidRPr="003A7CC5" w:rsidRDefault="00F710F2" w:rsidP="003A7CC5">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Publikime shkencore ose teknike, kur janë relevante</w:t>
      </w:r>
      <w:r w:rsidR="003A7CC5">
        <w:rPr>
          <w:rFonts w:ascii="Times New Roman" w:eastAsia="Times New Roman" w:hAnsi="Times New Roman" w:cs="Times New Roman"/>
          <w:color w:val="222222"/>
          <w:sz w:val="24"/>
          <w:szCs w:val="24"/>
          <w:lang w:eastAsia="sq-AL"/>
        </w:rPr>
        <w:t xml:space="preserve"> (për VT dhe ET);</w:t>
      </w:r>
    </w:p>
    <w:p w14:paraId="50E4348F" w14:textId="57C7F80F" w:rsidR="00F710F2" w:rsidRPr="00F710F2"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Përvojën në vlerësime, auditime ose aktivitete të ngjashme</w:t>
      </w:r>
      <w:r w:rsidR="003A7CC5">
        <w:rPr>
          <w:rFonts w:ascii="Times New Roman" w:eastAsia="Times New Roman" w:hAnsi="Times New Roman" w:cs="Times New Roman"/>
          <w:color w:val="222222"/>
          <w:sz w:val="24"/>
          <w:szCs w:val="24"/>
          <w:lang w:eastAsia="sq-AL"/>
        </w:rPr>
        <w:t xml:space="preserve"> </w:t>
      </w:r>
      <w:bookmarkStart w:id="4" w:name="_Hlk241219924"/>
      <w:r w:rsidR="003A7CC5">
        <w:rPr>
          <w:rFonts w:ascii="Times New Roman" w:eastAsia="Times New Roman" w:hAnsi="Times New Roman" w:cs="Times New Roman"/>
          <w:color w:val="222222"/>
          <w:sz w:val="24"/>
          <w:szCs w:val="24"/>
          <w:lang w:eastAsia="sq-AL"/>
        </w:rPr>
        <w:t>(vlen për VT</w:t>
      </w:r>
      <w:r w:rsidR="00E0273F">
        <w:rPr>
          <w:rFonts w:ascii="Times New Roman" w:eastAsia="Times New Roman" w:hAnsi="Times New Roman" w:cs="Times New Roman"/>
          <w:color w:val="222222"/>
          <w:sz w:val="24"/>
          <w:szCs w:val="24"/>
          <w:lang w:eastAsia="sq-AL"/>
        </w:rPr>
        <w:t xml:space="preserve">, </w:t>
      </w:r>
      <w:r w:rsidR="00E0273F">
        <w:rPr>
          <w:rFonts w:ascii="Times New Roman" w:eastAsia="Times New Roman" w:hAnsi="Times New Roman" w:cs="Times New Roman"/>
          <w:color w:val="222222"/>
          <w:sz w:val="24"/>
          <w:szCs w:val="24"/>
          <w:lang w:eastAsia="sq-AL"/>
        </w:rPr>
        <w:t>opcionale për ET</w:t>
      </w:r>
      <w:r w:rsidR="003A7CC5">
        <w:rPr>
          <w:rFonts w:ascii="Times New Roman" w:eastAsia="Times New Roman" w:hAnsi="Times New Roman" w:cs="Times New Roman"/>
          <w:color w:val="222222"/>
          <w:sz w:val="24"/>
          <w:szCs w:val="24"/>
          <w:lang w:eastAsia="sq-AL"/>
        </w:rPr>
        <w:t>);</w:t>
      </w:r>
      <w:bookmarkEnd w:id="4"/>
    </w:p>
    <w:p w14:paraId="5DC128F1" w14:textId="5308D89C" w:rsidR="00F710F2" w:rsidRPr="00F710F2"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Dëshmi të njohjes së standardeve dhe dokumenteve të zbatueshme</w:t>
      </w:r>
      <w:r w:rsidR="003A7CC5">
        <w:rPr>
          <w:rFonts w:ascii="Times New Roman" w:eastAsia="Times New Roman" w:hAnsi="Times New Roman" w:cs="Times New Roman"/>
          <w:color w:val="222222"/>
          <w:sz w:val="24"/>
          <w:szCs w:val="24"/>
          <w:lang w:eastAsia="sq-AL"/>
        </w:rPr>
        <w:t xml:space="preserve"> (vlen për VT</w:t>
      </w:r>
      <w:r w:rsidR="00E0273F">
        <w:rPr>
          <w:rFonts w:ascii="Times New Roman" w:eastAsia="Times New Roman" w:hAnsi="Times New Roman" w:cs="Times New Roman"/>
          <w:color w:val="222222"/>
          <w:sz w:val="24"/>
          <w:szCs w:val="24"/>
          <w:lang w:eastAsia="sq-AL"/>
        </w:rPr>
        <w:t xml:space="preserve">, </w:t>
      </w:r>
      <w:r w:rsidR="00E0273F">
        <w:rPr>
          <w:rFonts w:ascii="Times New Roman" w:eastAsia="Times New Roman" w:hAnsi="Times New Roman" w:cs="Times New Roman"/>
          <w:color w:val="222222"/>
          <w:sz w:val="24"/>
          <w:szCs w:val="24"/>
          <w:lang w:eastAsia="sq-AL"/>
        </w:rPr>
        <w:t>opcionale për ET</w:t>
      </w:r>
      <w:r w:rsidR="003A7CC5">
        <w:rPr>
          <w:rFonts w:ascii="Times New Roman" w:eastAsia="Times New Roman" w:hAnsi="Times New Roman" w:cs="Times New Roman"/>
          <w:color w:val="222222"/>
          <w:sz w:val="24"/>
          <w:szCs w:val="24"/>
          <w:lang w:eastAsia="sq-AL"/>
        </w:rPr>
        <w:t>);</w:t>
      </w:r>
    </w:p>
    <w:p w14:paraId="37B24EF7" w14:textId="7BE890CE" w:rsidR="00B632A9" w:rsidRPr="00584967" w:rsidRDefault="00F710F2" w:rsidP="00C964C4">
      <w:pPr>
        <w:numPr>
          <w:ilvl w:val="0"/>
          <w:numId w:val="18"/>
        </w:numPr>
        <w:shd w:val="clear" w:color="auto" w:fill="FFFFFF"/>
        <w:spacing w:line="240" w:lineRule="auto"/>
        <w:jc w:val="both"/>
        <w:rPr>
          <w:rFonts w:ascii="Calibri" w:eastAsia="Times New Roman" w:hAnsi="Calibri" w:cs="Calibri"/>
          <w:color w:val="222222"/>
          <w:lang w:eastAsia="sq-AL"/>
        </w:rPr>
      </w:pPr>
      <w:r w:rsidRPr="00F710F2">
        <w:rPr>
          <w:rFonts w:ascii="Times New Roman" w:eastAsia="Times New Roman" w:hAnsi="Times New Roman" w:cs="Times New Roman"/>
          <w:color w:val="222222"/>
          <w:sz w:val="24"/>
          <w:szCs w:val="24"/>
          <w:lang w:eastAsia="sq-AL"/>
        </w:rPr>
        <w:t>Rezultatet e monitorimit dhe vlerësimit të performancës</w:t>
      </w:r>
      <w:r w:rsidR="003A7CC5">
        <w:rPr>
          <w:rFonts w:ascii="Times New Roman" w:eastAsia="Times New Roman" w:hAnsi="Times New Roman" w:cs="Times New Roman"/>
          <w:color w:val="222222"/>
          <w:sz w:val="24"/>
          <w:szCs w:val="24"/>
          <w:lang w:eastAsia="sq-AL"/>
        </w:rPr>
        <w:t xml:space="preserve"> (vlen për VT</w:t>
      </w:r>
      <w:r w:rsidR="00E0273F">
        <w:rPr>
          <w:rFonts w:ascii="Times New Roman" w:eastAsia="Times New Roman" w:hAnsi="Times New Roman" w:cs="Times New Roman"/>
          <w:color w:val="222222"/>
          <w:sz w:val="24"/>
          <w:szCs w:val="24"/>
          <w:lang w:eastAsia="sq-AL"/>
        </w:rPr>
        <w:t xml:space="preserve">, </w:t>
      </w:r>
      <w:r w:rsidR="00E0273F">
        <w:rPr>
          <w:rFonts w:ascii="Times New Roman" w:eastAsia="Times New Roman" w:hAnsi="Times New Roman" w:cs="Times New Roman"/>
          <w:color w:val="222222"/>
          <w:sz w:val="24"/>
          <w:szCs w:val="24"/>
          <w:lang w:eastAsia="sq-AL"/>
        </w:rPr>
        <w:t>opcionale për ET</w:t>
      </w:r>
      <w:r w:rsidR="003A7CC5">
        <w:rPr>
          <w:rFonts w:ascii="Times New Roman" w:eastAsia="Times New Roman" w:hAnsi="Times New Roman" w:cs="Times New Roman"/>
          <w:color w:val="222222"/>
          <w:sz w:val="24"/>
          <w:szCs w:val="24"/>
          <w:lang w:eastAsia="sq-AL"/>
        </w:rPr>
        <w:t>).</w:t>
      </w:r>
    </w:p>
    <w:p w14:paraId="112037B2" w14:textId="1C055140" w:rsidR="00584967" w:rsidRDefault="00584967" w:rsidP="00584967">
      <w:pPr>
        <w:shd w:val="clear" w:color="auto" w:fill="FFFFFF"/>
        <w:spacing w:line="240" w:lineRule="auto"/>
        <w:jc w:val="both"/>
        <w:rPr>
          <w:rFonts w:ascii="Times New Roman" w:eastAsia="Times New Roman" w:hAnsi="Times New Roman" w:cs="Times New Roman"/>
          <w:color w:val="222222"/>
          <w:sz w:val="24"/>
          <w:szCs w:val="24"/>
          <w:lang w:eastAsia="sq-AL"/>
        </w:rPr>
      </w:pPr>
    </w:p>
    <w:p w14:paraId="0E52564E" w14:textId="42762A66" w:rsidR="00584967" w:rsidRPr="00584967" w:rsidRDefault="00584967" w:rsidP="00584967">
      <w:pPr>
        <w:shd w:val="clear" w:color="auto" w:fill="FFFFFF"/>
        <w:spacing w:line="240" w:lineRule="auto"/>
        <w:jc w:val="both"/>
        <w:rPr>
          <w:rFonts w:ascii="Times New Roman" w:eastAsia="Times New Roman" w:hAnsi="Times New Roman" w:cs="Times New Roman"/>
          <w:b/>
          <w:bCs/>
          <w:color w:val="222222"/>
          <w:sz w:val="24"/>
          <w:szCs w:val="24"/>
          <w:lang w:eastAsia="sq-AL"/>
        </w:rPr>
      </w:pPr>
      <w:r w:rsidRPr="00584967">
        <w:rPr>
          <w:rFonts w:ascii="Times New Roman" w:eastAsia="Times New Roman" w:hAnsi="Times New Roman" w:cs="Times New Roman"/>
          <w:b/>
          <w:bCs/>
          <w:color w:val="222222"/>
          <w:sz w:val="24"/>
          <w:szCs w:val="24"/>
          <w:lang w:eastAsia="sq-AL"/>
        </w:rPr>
        <w:t>Shënim:</w:t>
      </w:r>
    </w:p>
    <w:p w14:paraId="25BD9D2A" w14:textId="34849512" w:rsidR="00584967" w:rsidRPr="00584967" w:rsidRDefault="00584967" w:rsidP="00584967">
      <w:p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b/>
          <w:bCs/>
          <w:color w:val="222222"/>
          <w:sz w:val="24"/>
          <w:szCs w:val="24"/>
          <w:lang w:eastAsia="sq-AL"/>
        </w:rPr>
        <w:t>K</w:t>
      </w:r>
      <w:r w:rsidR="00DD3892">
        <w:rPr>
          <w:rFonts w:ascii="Times New Roman" w:eastAsia="Times New Roman" w:hAnsi="Times New Roman" w:cs="Times New Roman"/>
          <w:b/>
          <w:bCs/>
          <w:color w:val="222222"/>
          <w:sz w:val="24"/>
          <w:szCs w:val="24"/>
          <w:lang w:eastAsia="sq-AL"/>
        </w:rPr>
        <w:t>ërkesat për k</w:t>
      </w:r>
      <w:r w:rsidRPr="00584967">
        <w:rPr>
          <w:rFonts w:ascii="Times New Roman" w:eastAsia="Times New Roman" w:hAnsi="Times New Roman" w:cs="Times New Roman"/>
          <w:b/>
          <w:bCs/>
          <w:color w:val="222222"/>
          <w:sz w:val="24"/>
          <w:szCs w:val="24"/>
          <w:lang w:eastAsia="sq-AL"/>
        </w:rPr>
        <w:t>ualifikimi</w:t>
      </w:r>
      <w:r w:rsidR="00DD3892">
        <w:rPr>
          <w:rFonts w:ascii="Times New Roman" w:eastAsia="Times New Roman" w:hAnsi="Times New Roman" w:cs="Times New Roman"/>
          <w:b/>
          <w:bCs/>
          <w:color w:val="222222"/>
          <w:sz w:val="24"/>
          <w:szCs w:val="24"/>
          <w:lang w:eastAsia="sq-AL"/>
        </w:rPr>
        <w:t>n</w:t>
      </w:r>
      <w:r w:rsidRPr="00584967">
        <w:rPr>
          <w:rFonts w:ascii="Times New Roman" w:eastAsia="Times New Roman" w:hAnsi="Times New Roman" w:cs="Times New Roman"/>
          <w:b/>
          <w:bCs/>
          <w:color w:val="222222"/>
          <w:sz w:val="24"/>
          <w:szCs w:val="24"/>
          <w:lang w:eastAsia="sq-AL"/>
        </w:rPr>
        <w:t xml:space="preserve"> arsimor dhe profesional </w:t>
      </w:r>
      <w:r w:rsidR="00DD3892">
        <w:rPr>
          <w:rFonts w:ascii="Times New Roman" w:eastAsia="Times New Roman" w:hAnsi="Times New Roman" w:cs="Times New Roman"/>
          <w:b/>
          <w:bCs/>
          <w:color w:val="222222"/>
          <w:sz w:val="24"/>
          <w:szCs w:val="24"/>
          <w:lang w:eastAsia="sq-AL"/>
        </w:rPr>
        <w:t>të</w:t>
      </w:r>
      <w:r w:rsidRPr="00584967">
        <w:rPr>
          <w:rFonts w:ascii="Times New Roman" w:eastAsia="Times New Roman" w:hAnsi="Times New Roman" w:cs="Times New Roman"/>
          <w:b/>
          <w:bCs/>
          <w:color w:val="222222"/>
          <w:sz w:val="24"/>
          <w:szCs w:val="24"/>
          <w:lang w:eastAsia="sq-AL"/>
        </w:rPr>
        <w:t xml:space="preserve"> Ekspertit Teknik (ET)</w:t>
      </w:r>
    </w:p>
    <w:p w14:paraId="76432554" w14:textId="4A4574DA" w:rsidR="00584967" w:rsidRPr="00584967" w:rsidRDefault="00584967" w:rsidP="00584967">
      <w:p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Eksperti Teknik duhet të ketë arsimim, kualifikim profesional ose ekspertizë në fushën teknike për të cilën angazhohet.</w:t>
      </w:r>
    </w:p>
    <w:p w14:paraId="08FBF5E4" w14:textId="0AEBCF12" w:rsidR="00584967" w:rsidRPr="00584967" w:rsidRDefault="00584967" w:rsidP="00584967">
      <w:p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lastRenderedPageBreak/>
        <w:t xml:space="preserve">Kualifikimi i tij duhet të jetë i lidhur </w:t>
      </w:r>
      <w:r w:rsidR="00BC4ED2">
        <w:rPr>
          <w:rFonts w:ascii="Times New Roman" w:eastAsia="Times New Roman" w:hAnsi="Times New Roman" w:cs="Times New Roman"/>
          <w:color w:val="222222"/>
          <w:sz w:val="24"/>
          <w:szCs w:val="24"/>
          <w:lang w:eastAsia="sq-AL"/>
        </w:rPr>
        <w:t xml:space="preserve">drejtpërdrejt </w:t>
      </w:r>
      <w:r w:rsidRPr="00584967">
        <w:rPr>
          <w:rFonts w:ascii="Times New Roman" w:eastAsia="Times New Roman" w:hAnsi="Times New Roman" w:cs="Times New Roman"/>
          <w:color w:val="222222"/>
          <w:sz w:val="24"/>
          <w:szCs w:val="24"/>
          <w:lang w:eastAsia="sq-AL"/>
        </w:rPr>
        <w:t>me aktivitetin, metodën, teknologjinë ose disiplinën teknike për të cilën kërkohet ekspertiza.</w:t>
      </w:r>
    </w:p>
    <w:p w14:paraId="4514CE5F" w14:textId="77777777" w:rsidR="00584967" w:rsidRPr="00584967" w:rsidRDefault="00584967" w:rsidP="00584967">
      <w:p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Në varësi të fushës së akreditimit, kërkohet:</w:t>
      </w:r>
    </w:p>
    <w:p w14:paraId="4A3DE23C" w14:textId="7247B88A" w:rsidR="00584967" w:rsidRPr="00584967" w:rsidRDefault="00584967" w:rsidP="00584967">
      <w:pPr>
        <w:numPr>
          <w:ilvl w:val="0"/>
          <w:numId w:val="4"/>
        </w:num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Diplomë universitare ose kualifikim profesional përkatës;</w:t>
      </w:r>
    </w:p>
    <w:p w14:paraId="431CFBD4" w14:textId="463B10E4" w:rsidR="00584967" w:rsidRPr="00584967" w:rsidRDefault="00584967" w:rsidP="00584967">
      <w:pPr>
        <w:numPr>
          <w:ilvl w:val="0"/>
          <w:numId w:val="4"/>
        </w:num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Njohuri teorike dhe praktike në fushën teknike përkatëse;</w:t>
      </w:r>
    </w:p>
    <w:p w14:paraId="49F5BA4C" w14:textId="17F850C7" w:rsidR="00584967" w:rsidRPr="00584967" w:rsidRDefault="00584967" w:rsidP="00584967">
      <w:pPr>
        <w:numPr>
          <w:ilvl w:val="0"/>
          <w:numId w:val="4"/>
        </w:num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Përvojë profesionale në aktivitetet, metodat ose teknologjitë për të cilat ofron ekspertizë;</w:t>
      </w:r>
    </w:p>
    <w:p w14:paraId="72F8DDFB" w14:textId="77777777" w:rsidR="00584967" w:rsidRPr="00584967" w:rsidRDefault="00584967" w:rsidP="00584967">
      <w:pPr>
        <w:numPr>
          <w:ilvl w:val="0"/>
          <w:numId w:val="4"/>
        </w:num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Njohuri për standardet teknike, kërkesat ligjore dhe dokumentet normative që lidhen me fushën e ekspertizës;</w:t>
      </w:r>
    </w:p>
    <w:p w14:paraId="5068E75C" w14:textId="475782F1" w:rsidR="00584967" w:rsidRPr="00584967" w:rsidRDefault="00584967" w:rsidP="00584967">
      <w:pPr>
        <w:numPr>
          <w:ilvl w:val="0"/>
          <w:numId w:val="4"/>
        </w:num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Trajnim ose njohuri për kërkesat e standardit të akreditimit që lidhen me ekspertizën e tij.</w:t>
      </w:r>
    </w:p>
    <w:p w14:paraId="638093F4" w14:textId="01A3C22A" w:rsidR="00584967" w:rsidRPr="00584967" w:rsidRDefault="00584967" w:rsidP="00584967">
      <w:p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Në raste të veçanta, kompetenca e Ekspertit Teknik dëshmohet edhe përmes përvojës së gjatë profesionale, angazhimit akademik, punës kërkimore ose ekspertizës, nëse këto dëshmi vlerësohen si të mjaftueshme nga DAK.</w:t>
      </w:r>
    </w:p>
    <w:p w14:paraId="56B8E82F" w14:textId="57AA9E01" w:rsidR="00584967" w:rsidRPr="00F710F2" w:rsidRDefault="00584967" w:rsidP="00584967">
      <w:pPr>
        <w:shd w:val="clear" w:color="auto" w:fill="FFFFFF"/>
        <w:spacing w:line="240" w:lineRule="auto"/>
        <w:jc w:val="both"/>
        <w:rPr>
          <w:rFonts w:ascii="Calibri" w:eastAsia="Times New Roman" w:hAnsi="Calibri" w:cs="Calibri"/>
          <w:color w:val="222222"/>
          <w:lang w:eastAsia="sq-AL"/>
        </w:rPr>
      </w:pPr>
      <w:r w:rsidRPr="00584967">
        <w:rPr>
          <w:rFonts w:ascii="Times New Roman" w:eastAsia="Times New Roman" w:hAnsi="Times New Roman" w:cs="Times New Roman"/>
          <w:color w:val="222222"/>
          <w:sz w:val="24"/>
          <w:szCs w:val="24"/>
          <w:lang w:eastAsia="sq-AL"/>
        </w:rPr>
        <w:t>Për ET kërkohet përvojë në fushën specifike ose ekspertizë s</w:t>
      </w:r>
      <w:r w:rsidR="000D422E">
        <w:rPr>
          <w:rFonts w:ascii="Times New Roman" w:eastAsia="Times New Roman" w:hAnsi="Times New Roman" w:cs="Times New Roman"/>
          <w:color w:val="222222"/>
          <w:sz w:val="24"/>
          <w:szCs w:val="24"/>
          <w:lang w:eastAsia="sq-AL"/>
        </w:rPr>
        <w:t>ipas</w:t>
      </w:r>
      <w:r w:rsidRPr="00584967">
        <w:rPr>
          <w:rFonts w:ascii="Times New Roman" w:eastAsia="Times New Roman" w:hAnsi="Times New Roman" w:cs="Times New Roman"/>
          <w:color w:val="222222"/>
          <w:sz w:val="24"/>
          <w:szCs w:val="24"/>
          <w:lang w:eastAsia="sq-AL"/>
        </w:rPr>
        <w:t xml:space="preserve"> kualifikimit profesional, angazhimit akademik, punës kërkimore apo përvojës praktike.</w:t>
      </w:r>
    </w:p>
    <w:p w14:paraId="130AD6D3" w14:textId="77777777" w:rsidR="00584967" w:rsidRPr="000C615F" w:rsidRDefault="00584967" w:rsidP="00584967">
      <w:pPr>
        <w:shd w:val="clear" w:color="auto" w:fill="FFFFFF"/>
        <w:spacing w:line="240" w:lineRule="auto"/>
        <w:jc w:val="both"/>
        <w:rPr>
          <w:rFonts w:ascii="Calibri" w:eastAsia="Times New Roman" w:hAnsi="Calibri" w:cs="Calibri"/>
          <w:color w:val="222222"/>
          <w:lang w:eastAsia="sq-AL"/>
        </w:rPr>
      </w:pPr>
    </w:p>
    <w:sectPr w:rsidR="00584967" w:rsidRPr="000C615F" w:rsidSect="0040428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BF4E0" w14:textId="77777777" w:rsidR="0069110A" w:rsidRDefault="0069110A" w:rsidP="006A129C">
      <w:pPr>
        <w:spacing w:after="0" w:line="240" w:lineRule="auto"/>
      </w:pPr>
      <w:r>
        <w:separator/>
      </w:r>
    </w:p>
  </w:endnote>
  <w:endnote w:type="continuationSeparator" w:id="0">
    <w:p w14:paraId="5623CE67" w14:textId="77777777" w:rsidR="0069110A" w:rsidRDefault="0069110A" w:rsidP="006A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1F19" w14:textId="1DF84468" w:rsidR="006A129C" w:rsidRDefault="006A129C">
    <w:pPr>
      <w:pStyle w:val="Footer"/>
      <w:jc w:val="center"/>
    </w:pPr>
  </w:p>
  <w:tbl>
    <w:tblPr>
      <w:tblW w:w="0" w:type="auto"/>
      <w:tblLook w:val="04A0" w:firstRow="1" w:lastRow="0" w:firstColumn="1" w:lastColumn="0" w:noHBand="0" w:noVBand="1"/>
    </w:tblPr>
    <w:tblGrid>
      <w:gridCol w:w="4694"/>
      <w:gridCol w:w="4666"/>
    </w:tblGrid>
    <w:tr w:rsidR="006520FB" w:rsidRPr="001A0C6D" w14:paraId="50E9A522" w14:textId="77777777" w:rsidTr="00654D8C">
      <w:tc>
        <w:tcPr>
          <w:tcW w:w="4926" w:type="dxa"/>
        </w:tcPr>
        <w:p w14:paraId="3EE4DA60" w14:textId="77777777" w:rsidR="006520FB" w:rsidRPr="00536A2D" w:rsidRDefault="006520FB" w:rsidP="006520FB">
          <w:pPr>
            <w:pStyle w:val="Footer"/>
            <w:rPr>
              <w:rFonts w:ascii="Times New Roman" w:hAnsi="Times New Roman"/>
              <w:bCs/>
              <w:sz w:val="18"/>
              <w:szCs w:val="18"/>
              <w:lang w:val="en-GB"/>
            </w:rPr>
          </w:pPr>
          <w:r w:rsidRPr="00536A2D">
            <w:rPr>
              <w:rFonts w:ascii="Times New Roman" w:hAnsi="Times New Roman"/>
              <w:bCs/>
              <w:sz w:val="18"/>
              <w:szCs w:val="18"/>
              <w:lang w:val="en-GB"/>
            </w:rPr>
            <w:t>PT-02–Aneksi 1 Kërkesat specifike të njohurive për vlerësuesit teknik dhe ekspertët teknik</w:t>
          </w:r>
        </w:p>
        <w:p w14:paraId="6C9A760E" w14:textId="2215872E" w:rsidR="006520FB" w:rsidRPr="00F42808" w:rsidRDefault="006520FB" w:rsidP="006520FB">
          <w:pPr>
            <w:pStyle w:val="Footer"/>
            <w:rPr>
              <w:rFonts w:ascii="Times New Roman" w:hAnsi="Times New Roman"/>
              <w:color w:val="0070C0"/>
              <w:sz w:val="18"/>
              <w:szCs w:val="18"/>
              <w:lang w:val="en-GB"/>
            </w:rPr>
          </w:pPr>
          <w:r w:rsidRPr="00F42808">
            <w:rPr>
              <w:rFonts w:ascii="Times New Roman" w:hAnsi="Times New Roman"/>
              <w:color w:val="0070C0"/>
              <w:sz w:val="18"/>
              <w:szCs w:val="18"/>
              <w:lang w:val="en-GB"/>
            </w:rPr>
            <w:t xml:space="preserve">Botimi </w:t>
          </w:r>
          <w:r>
            <w:rPr>
              <w:rFonts w:ascii="Times New Roman" w:hAnsi="Times New Roman"/>
              <w:color w:val="0070C0"/>
              <w:sz w:val="18"/>
              <w:szCs w:val="18"/>
              <w:lang w:val="en-GB"/>
            </w:rPr>
            <w:t>3</w:t>
          </w:r>
          <w:r w:rsidRPr="00F42808">
            <w:rPr>
              <w:rFonts w:ascii="Times New Roman" w:hAnsi="Times New Roman"/>
              <w:color w:val="0070C0"/>
              <w:sz w:val="18"/>
              <w:szCs w:val="18"/>
              <w:lang w:val="en-GB"/>
            </w:rPr>
            <w:t xml:space="preserve"> i dates </w:t>
          </w:r>
          <w:r>
            <w:rPr>
              <w:rFonts w:ascii="Times New Roman" w:hAnsi="Times New Roman"/>
              <w:color w:val="0070C0"/>
              <w:sz w:val="18"/>
              <w:szCs w:val="18"/>
              <w:lang w:val="en-GB"/>
            </w:rPr>
            <w:t>25</w:t>
          </w:r>
          <w:r w:rsidRPr="00F42808">
            <w:rPr>
              <w:rFonts w:ascii="Times New Roman" w:hAnsi="Times New Roman"/>
              <w:color w:val="0070C0"/>
              <w:sz w:val="18"/>
              <w:szCs w:val="18"/>
              <w:lang w:val="en-GB"/>
            </w:rPr>
            <w:t>.0</w:t>
          </w:r>
          <w:r>
            <w:rPr>
              <w:rFonts w:ascii="Times New Roman" w:hAnsi="Times New Roman"/>
              <w:color w:val="0070C0"/>
              <w:sz w:val="18"/>
              <w:szCs w:val="18"/>
              <w:lang w:val="en-GB"/>
            </w:rPr>
            <w:t>9</w:t>
          </w:r>
          <w:r w:rsidRPr="00F42808">
            <w:rPr>
              <w:rFonts w:ascii="Times New Roman" w:hAnsi="Times New Roman"/>
              <w:color w:val="0070C0"/>
              <w:sz w:val="18"/>
              <w:szCs w:val="18"/>
              <w:lang w:val="en-GB"/>
            </w:rPr>
            <w:t>.202</w:t>
          </w:r>
          <w:r>
            <w:rPr>
              <w:rFonts w:ascii="Times New Roman" w:hAnsi="Times New Roman"/>
              <w:color w:val="0070C0"/>
              <w:sz w:val="18"/>
              <w:szCs w:val="18"/>
              <w:lang w:val="en-GB"/>
            </w:rPr>
            <w:t>6</w:t>
          </w:r>
        </w:p>
        <w:p w14:paraId="7CAFE77A" w14:textId="77777777" w:rsidR="006520FB" w:rsidRPr="001A0C6D" w:rsidRDefault="006520FB" w:rsidP="006520FB">
          <w:pPr>
            <w:pStyle w:val="Footer"/>
            <w:rPr>
              <w:rFonts w:ascii="Times New Roman" w:hAnsi="Times New Roman"/>
              <w:sz w:val="16"/>
              <w:szCs w:val="16"/>
              <w:lang w:val="en-GB"/>
            </w:rPr>
          </w:pPr>
        </w:p>
      </w:tc>
      <w:tc>
        <w:tcPr>
          <w:tcW w:w="4927" w:type="dxa"/>
        </w:tcPr>
        <w:p w14:paraId="03501ED9" w14:textId="77777777" w:rsidR="006520FB" w:rsidRPr="001A0C6D" w:rsidRDefault="006520FB" w:rsidP="006520FB">
          <w:pPr>
            <w:spacing w:after="0" w:line="240" w:lineRule="auto"/>
            <w:jc w:val="right"/>
            <w:rPr>
              <w:rFonts w:ascii="Times New Roman" w:hAnsi="Times New Roman"/>
              <w:sz w:val="16"/>
              <w:szCs w:val="16"/>
              <w:lang w:val="en-GB"/>
            </w:rPr>
          </w:pPr>
          <w:r>
            <w:rPr>
              <w:rFonts w:ascii="Times New Roman" w:hAnsi="Times New Roman"/>
              <w:sz w:val="16"/>
              <w:szCs w:val="16"/>
              <w:lang w:val="en-GB"/>
            </w:rPr>
            <w:t>Faq</w:t>
          </w:r>
          <w:r w:rsidRPr="001A0C6D">
            <w:rPr>
              <w:rFonts w:ascii="Times New Roman" w:hAnsi="Times New Roman"/>
              <w:sz w:val="16"/>
              <w:szCs w:val="16"/>
              <w:lang w:val="en-GB"/>
            </w:rPr>
            <w:t xml:space="preserve">e </w:t>
          </w:r>
          <w:r w:rsidRPr="001A0C6D">
            <w:rPr>
              <w:rFonts w:ascii="Times New Roman" w:hAnsi="Times New Roman"/>
              <w:sz w:val="16"/>
              <w:szCs w:val="16"/>
              <w:lang w:val="en-GB"/>
            </w:rPr>
            <w:fldChar w:fldCharType="begin"/>
          </w:r>
          <w:r w:rsidRPr="001A0C6D">
            <w:rPr>
              <w:rFonts w:ascii="Times New Roman" w:hAnsi="Times New Roman"/>
              <w:sz w:val="16"/>
              <w:szCs w:val="16"/>
              <w:lang w:val="en-GB"/>
            </w:rPr>
            <w:instrText xml:space="preserve"> PAGE </w:instrText>
          </w:r>
          <w:r w:rsidRPr="001A0C6D">
            <w:rPr>
              <w:rFonts w:ascii="Times New Roman" w:hAnsi="Times New Roman"/>
              <w:sz w:val="16"/>
              <w:szCs w:val="16"/>
              <w:lang w:val="en-GB"/>
            </w:rPr>
            <w:fldChar w:fldCharType="separate"/>
          </w:r>
          <w:r>
            <w:rPr>
              <w:rFonts w:ascii="Times New Roman" w:hAnsi="Times New Roman"/>
              <w:noProof/>
              <w:sz w:val="16"/>
              <w:szCs w:val="16"/>
              <w:lang w:val="en-GB"/>
            </w:rPr>
            <w:t>2</w:t>
          </w:r>
          <w:r w:rsidRPr="001A0C6D">
            <w:rPr>
              <w:rFonts w:ascii="Times New Roman" w:hAnsi="Times New Roman"/>
              <w:sz w:val="16"/>
              <w:szCs w:val="16"/>
              <w:lang w:val="en-GB"/>
            </w:rPr>
            <w:fldChar w:fldCharType="end"/>
          </w:r>
          <w:r w:rsidRPr="001A0C6D">
            <w:rPr>
              <w:rFonts w:ascii="Times New Roman" w:hAnsi="Times New Roman"/>
              <w:sz w:val="16"/>
              <w:szCs w:val="16"/>
              <w:lang w:val="en-GB"/>
            </w:rPr>
            <w:t xml:space="preserve"> </w:t>
          </w:r>
          <w:r>
            <w:rPr>
              <w:rFonts w:ascii="Times New Roman" w:hAnsi="Times New Roman"/>
              <w:sz w:val="16"/>
              <w:szCs w:val="16"/>
              <w:lang w:val="en-GB"/>
            </w:rPr>
            <w:t xml:space="preserve">nga </w:t>
          </w:r>
          <w:r w:rsidRPr="001A0C6D">
            <w:rPr>
              <w:rFonts w:ascii="Times New Roman" w:hAnsi="Times New Roman"/>
              <w:sz w:val="16"/>
              <w:szCs w:val="16"/>
              <w:lang w:val="en-GB"/>
            </w:rPr>
            <w:fldChar w:fldCharType="begin"/>
          </w:r>
          <w:r w:rsidRPr="001A0C6D">
            <w:rPr>
              <w:rFonts w:ascii="Times New Roman" w:hAnsi="Times New Roman"/>
              <w:sz w:val="16"/>
              <w:szCs w:val="16"/>
              <w:lang w:val="en-GB"/>
            </w:rPr>
            <w:instrText xml:space="preserve"> NUMPAGES  </w:instrText>
          </w:r>
          <w:r w:rsidRPr="001A0C6D">
            <w:rPr>
              <w:rFonts w:ascii="Times New Roman" w:hAnsi="Times New Roman"/>
              <w:sz w:val="16"/>
              <w:szCs w:val="16"/>
              <w:lang w:val="en-GB"/>
            </w:rPr>
            <w:fldChar w:fldCharType="separate"/>
          </w:r>
          <w:r>
            <w:rPr>
              <w:rFonts w:ascii="Times New Roman" w:hAnsi="Times New Roman"/>
              <w:noProof/>
              <w:sz w:val="16"/>
              <w:szCs w:val="16"/>
              <w:lang w:val="en-GB"/>
            </w:rPr>
            <w:t>5</w:t>
          </w:r>
          <w:r w:rsidRPr="001A0C6D">
            <w:rPr>
              <w:rFonts w:ascii="Times New Roman" w:hAnsi="Times New Roman"/>
              <w:sz w:val="16"/>
              <w:szCs w:val="16"/>
              <w:lang w:val="en-GB"/>
            </w:rPr>
            <w:fldChar w:fldCharType="end"/>
          </w:r>
        </w:p>
        <w:p w14:paraId="33BC111F" w14:textId="77777777" w:rsidR="006520FB" w:rsidRPr="001A0C6D" w:rsidRDefault="006520FB" w:rsidP="006520FB">
          <w:pPr>
            <w:pStyle w:val="Footer"/>
            <w:rPr>
              <w:rFonts w:ascii="Times New Roman" w:hAnsi="Times New Roman"/>
              <w:sz w:val="16"/>
              <w:szCs w:val="16"/>
              <w:lang w:val="en-GB"/>
            </w:rPr>
          </w:pPr>
        </w:p>
      </w:tc>
    </w:tr>
  </w:tbl>
  <w:p w14:paraId="0E351543" w14:textId="77777777" w:rsidR="006A129C" w:rsidRDefault="006A1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C5C83" w14:textId="77777777" w:rsidR="0069110A" w:rsidRDefault="0069110A" w:rsidP="006A129C">
      <w:pPr>
        <w:spacing w:after="0" w:line="240" w:lineRule="auto"/>
      </w:pPr>
      <w:r>
        <w:separator/>
      </w:r>
    </w:p>
  </w:footnote>
  <w:footnote w:type="continuationSeparator" w:id="0">
    <w:p w14:paraId="0FB20D2F" w14:textId="77777777" w:rsidR="0069110A" w:rsidRDefault="0069110A" w:rsidP="006A1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F2431"/>
    <w:multiLevelType w:val="multilevel"/>
    <w:tmpl w:val="37AC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760F2B"/>
    <w:multiLevelType w:val="multilevel"/>
    <w:tmpl w:val="3764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8626E"/>
    <w:multiLevelType w:val="multilevel"/>
    <w:tmpl w:val="A42C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27FDD"/>
    <w:multiLevelType w:val="multilevel"/>
    <w:tmpl w:val="0974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A012A3"/>
    <w:multiLevelType w:val="multilevel"/>
    <w:tmpl w:val="33E8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A53DC9"/>
    <w:multiLevelType w:val="multilevel"/>
    <w:tmpl w:val="F24E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CB0B52"/>
    <w:multiLevelType w:val="multilevel"/>
    <w:tmpl w:val="0E0E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8F592D"/>
    <w:multiLevelType w:val="multilevel"/>
    <w:tmpl w:val="9608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F65C25"/>
    <w:multiLevelType w:val="multilevel"/>
    <w:tmpl w:val="A58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7572FB"/>
    <w:multiLevelType w:val="multilevel"/>
    <w:tmpl w:val="AA76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F44F6E"/>
    <w:multiLevelType w:val="multilevel"/>
    <w:tmpl w:val="C4465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161290"/>
    <w:multiLevelType w:val="multilevel"/>
    <w:tmpl w:val="C22C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482190"/>
    <w:multiLevelType w:val="multilevel"/>
    <w:tmpl w:val="9A0E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33A61"/>
    <w:multiLevelType w:val="multilevel"/>
    <w:tmpl w:val="9134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D1063C"/>
    <w:multiLevelType w:val="multilevel"/>
    <w:tmpl w:val="9B24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182A7C"/>
    <w:multiLevelType w:val="multilevel"/>
    <w:tmpl w:val="3292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5B2482"/>
    <w:multiLevelType w:val="multilevel"/>
    <w:tmpl w:val="6B72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660105"/>
    <w:multiLevelType w:val="multilevel"/>
    <w:tmpl w:val="AE48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1"/>
  </w:num>
  <w:num w:numId="3">
    <w:abstractNumId w:val="13"/>
  </w:num>
  <w:num w:numId="4">
    <w:abstractNumId w:val="7"/>
  </w:num>
  <w:num w:numId="5">
    <w:abstractNumId w:val="2"/>
  </w:num>
  <w:num w:numId="6">
    <w:abstractNumId w:val="6"/>
  </w:num>
  <w:num w:numId="7">
    <w:abstractNumId w:val="8"/>
  </w:num>
  <w:num w:numId="8">
    <w:abstractNumId w:val="16"/>
  </w:num>
  <w:num w:numId="9">
    <w:abstractNumId w:val="4"/>
  </w:num>
  <w:num w:numId="10">
    <w:abstractNumId w:val="15"/>
  </w:num>
  <w:num w:numId="11">
    <w:abstractNumId w:val="1"/>
  </w:num>
  <w:num w:numId="12">
    <w:abstractNumId w:val="12"/>
  </w:num>
  <w:num w:numId="13">
    <w:abstractNumId w:val="17"/>
  </w:num>
  <w:num w:numId="14">
    <w:abstractNumId w:val="0"/>
  </w:num>
  <w:num w:numId="15">
    <w:abstractNumId w:val="14"/>
  </w:num>
  <w:num w:numId="16">
    <w:abstractNumId w:val="9"/>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C7"/>
    <w:rsid w:val="00047D29"/>
    <w:rsid w:val="000639F4"/>
    <w:rsid w:val="000C103E"/>
    <w:rsid w:val="000C615F"/>
    <w:rsid w:val="000D1985"/>
    <w:rsid w:val="000D2FBD"/>
    <w:rsid w:val="000D422E"/>
    <w:rsid w:val="00123196"/>
    <w:rsid w:val="00184938"/>
    <w:rsid w:val="00190BC3"/>
    <w:rsid w:val="001913EA"/>
    <w:rsid w:val="001C6B7D"/>
    <w:rsid w:val="001E2DB6"/>
    <w:rsid w:val="002E7CF7"/>
    <w:rsid w:val="00302D26"/>
    <w:rsid w:val="003149CF"/>
    <w:rsid w:val="00363450"/>
    <w:rsid w:val="0037381F"/>
    <w:rsid w:val="003A1562"/>
    <w:rsid w:val="003A7CC5"/>
    <w:rsid w:val="003C4E67"/>
    <w:rsid w:val="00404281"/>
    <w:rsid w:val="00410825"/>
    <w:rsid w:val="004548BD"/>
    <w:rsid w:val="004939B4"/>
    <w:rsid w:val="004B7794"/>
    <w:rsid w:val="004E1357"/>
    <w:rsid w:val="00552BD8"/>
    <w:rsid w:val="0058200D"/>
    <w:rsid w:val="00584967"/>
    <w:rsid w:val="005A13A1"/>
    <w:rsid w:val="005D2F5D"/>
    <w:rsid w:val="006520FB"/>
    <w:rsid w:val="006827EF"/>
    <w:rsid w:val="0069110A"/>
    <w:rsid w:val="006A129C"/>
    <w:rsid w:val="006C7E9E"/>
    <w:rsid w:val="006F0071"/>
    <w:rsid w:val="006F45E0"/>
    <w:rsid w:val="00703EFA"/>
    <w:rsid w:val="007152AB"/>
    <w:rsid w:val="00757110"/>
    <w:rsid w:val="007636AB"/>
    <w:rsid w:val="008613C1"/>
    <w:rsid w:val="008B74C7"/>
    <w:rsid w:val="008D6D4B"/>
    <w:rsid w:val="008F0E40"/>
    <w:rsid w:val="0091073C"/>
    <w:rsid w:val="00941A7D"/>
    <w:rsid w:val="00977C62"/>
    <w:rsid w:val="009A7913"/>
    <w:rsid w:val="009E1349"/>
    <w:rsid w:val="009E6572"/>
    <w:rsid w:val="009F7560"/>
    <w:rsid w:val="00A014B6"/>
    <w:rsid w:val="00A213FC"/>
    <w:rsid w:val="00AA5990"/>
    <w:rsid w:val="00AD3926"/>
    <w:rsid w:val="00AE3DCE"/>
    <w:rsid w:val="00B06665"/>
    <w:rsid w:val="00B20AEA"/>
    <w:rsid w:val="00B5298E"/>
    <w:rsid w:val="00B61F7E"/>
    <w:rsid w:val="00B632A9"/>
    <w:rsid w:val="00BC4ED2"/>
    <w:rsid w:val="00BC6C39"/>
    <w:rsid w:val="00C13468"/>
    <w:rsid w:val="00C964C4"/>
    <w:rsid w:val="00CC5316"/>
    <w:rsid w:val="00CE14DE"/>
    <w:rsid w:val="00CF5898"/>
    <w:rsid w:val="00D168F6"/>
    <w:rsid w:val="00D32ADD"/>
    <w:rsid w:val="00D32D34"/>
    <w:rsid w:val="00D91AEA"/>
    <w:rsid w:val="00DD3892"/>
    <w:rsid w:val="00E0273F"/>
    <w:rsid w:val="00E34113"/>
    <w:rsid w:val="00EB06EA"/>
    <w:rsid w:val="00EC757A"/>
    <w:rsid w:val="00ED06B4"/>
    <w:rsid w:val="00F70AB3"/>
    <w:rsid w:val="00F710F2"/>
    <w:rsid w:val="00F80D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E63F8"/>
  <w15:chartTrackingRefBased/>
  <w15:docId w15:val="{85CCA9EC-8813-4768-ACF0-368EB0B8F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29C"/>
  </w:style>
  <w:style w:type="paragraph" w:styleId="Footer">
    <w:name w:val="footer"/>
    <w:basedOn w:val="Normal"/>
    <w:link w:val="FooterChar"/>
    <w:uiPriority w:val="99"/>
    <w:unhideWhenUsed/>
    <w:rsid w:val="006A1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65B2-B652-4200-B876-1F02F7CC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2095</Words>
  <Characters>11945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Valmira Bedri. Sejdiu</dc:creator>
  <cp:keywords/>
  <dc:description/>
  <cp:lastModifiedBy>Valmira Bedri. Sejdiu</cp:lastModifiedBy>
  <cp:revision>2</cp:revision>
  <dcterms:created xsi:type="dcterms:W3CDTF">2026-09-25T08:45:00Z</dcterms:created>
  <dcterms:modified xsi:type="dcterms:W3CDTF">2026-09-25T08:45:00Z</dcterms:modified>
</cp:coreProperties>
</file>